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75CD64">
      <w:pPr>
        <w:tabs>
          <w:tab w:val="left" w:pos="3106"/>
          <w:tab w:val="center" w:pos="4536"/>
          <w:tab w:val="right" w:pos="9072"/>
        </w:tabs>
        <w:jc w:val="both"/>
        <w:rPr>
          <w:rFonts w:hint="default" w:ascii="Arial" w:hAnsi="Arial" w:eastAsia="宋体" w:cs="Arial"/>
          <w:b/>
          <w:bCs/>
          <w:highlight w:val="yellow"/>
          <w:lang w:val="en-US" w:eastAsia="zh-CN"/>
        </w:rPr>
      </w:pPr>
      <w:r>
        <w:rPr>
          <w:rFonts w:ascii="Arial" w:hAnsi="Arial" w:cs="Arial"/>
          <w:b/>
          <w:bCs/>
        </w:rPr>
        <w:t>3GPP TSG-RAN WG4 Meeting #</w:t>
      </w:r>
      <w:r>
        <w:rPr>
          <w:rFonts w:ascii="Arial" w:hAnsi="Arial" w:cs="Arial"/>
          <w:b/>
        </w:rPr>
        <w:t>1</w:t>
      </w:r>
      <w:r>
        <w:rPr>
          <w:rFonts w:hint="eastAsia" w:ascii="Arial" w:hAnsi="Arial" w:eastAsia="宋体" w:cs="Arial"/>
          <w:b/>
          <w:lang w:val="en-US" w:eastAsia="zh-CN"/>
        </w:rPr>
        <w:t>14</w:t>
      </w:r>
      <w:r>
        <w:rPr>
          <w:rFonts w:ascii="Arial" w:hAnsi="Arial" w:cs="Arial"/>
          <w:b/>
          <w:bCs/>
        </w:rPr>
        <w:t xml:space="preserve">     </w:t>
      </w:r>
      <w:r>
        <w:rPr>
          <w:rFonts w:ascii="Arial" w:hAnsi="Arial" w:cs="Arial"/>
          <w:b/>
          <w:bCs/>
        </w:rPr>
        <w:tab/>
      </w:r>
      <w:bookmarkStart w:id="0" w:name="_Hlk41145946"/>
      <w:r>
        <w:rPr>
          <w:rFonts w:hint="eastAsia" w:ascii="Arial" w:hAnsi="Arial" w:eastAsia="宋体" w:cs="Arial"/>
          <w:b/>
          <w:bCs/>
          <w:lang w:val="en-US" w:eastAsia="zh-CN"/>
        </w:rPr>
        <w:t xml:space="preserve">      </w:t>
      </w:r>
      <w:r>
        <w:rPr>
          <w:rFonts w:ascii="Arial" w:hAnsi="Arial" w:cs="Arial"/>
          <w:b/>
          <w:bCs/>
        </w:rPr>
        <w:t>R4-2</w:t>
      </w:r>
      <w:bookmarkEnd w:id="0"/>
      <w:r>
        <w:rPr>
          <w:rFonts w:hint="eastAsia" w:ascii="Arial" w:hAnsi="Arial" w:eastAsia="宋体" w:cs="Arial"/>
          <w:b/>
          <w:bCs/>
          <w:lang w:val="en-US" w:eastAsia="zh-CN"/>
        </w:rPr>
        <w:t>500844</w:t>
      </w:r>
      <w:bookmarkStart w:id="7" w:name="_GoBack"/>
      <w:bookmarkEnd w:id="7"/>
    </w:p>
    <w:p w14:paraId="21BD989D">
      <w:pPr>
        <w:pStyle w:val="15"/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Athens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17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</w:t>
      </w:r>
      <w:r>
        <w:rPr>
          <w:rFonts w:hint="eastAsia" w:ascii="Arial" w:hAnsi="Arial" w:eastAsia="宋体" w:cs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February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, 202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</w:t>
      </w:r>
    </w:p>
    <w:p w14:paraId="3C672F29">
      <w:pPr>
        <w:tabs>
          <w:tab w:val="left" w:pos="1985"/>
        </w:tabs>
        <w:rPr>
          <w:b/>
          <w:sz w:val="22"/>
        </w:rPr>
      </w:pPr>
    </w:p>
    <w:p w14:paraId="41492646">
      <w:pPr>
        <w:tabs>
          <w:tab w:val="left" w:pos="1765"/>
          <w:tab w:val="center" w:pos="4557"/>
        </w:tabs>
        <w:rPr>
          <w:rFonts w:hint="default" w:eastAsia="宋体"/>
          <w:b/>
          <w:sz w:val="22"/>
          <w:lang w:val="en-US" w:eastAsia="zh-CN"/>
        </w:rPr>
      </w:pPr>
      <w:r>
        <w:rPr>
          <w:b/>
          <w:sz w:val="22"/>
        </w:rPr>
        <w:t>Agenda Item:</w:t>
      </w:r>
      <w:r>
        <w:rPr>
          <w:b/>
          <w:sz w:val="22"/>
        </w:rPr>
        <w:tab/>
      </w:r>
      <w:r>
        <w:rPr>
          <w:rFonts w:hint="eastAsia" w:eastAsia="宋体"/>
          <w:sz w:val="22"/>
          <w:highlight w:val="none"/>
          <w:lang w:val="en-US" w:eastAsia="zh-CN"/>
        </w:rPr>
        <w:t>7.18.2</w:t>
      </w:r>
    </w:p>
    <w:p w14:paraId="00837144">
      <w:pPr>
        <w:tabs>
          <w:tab w:val="left" w:pos="1765"/>
        </w:tabs>
        <w:rPr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bookmarkStart w:id="1" w:name="_Hlk41145958"/>
      <w:r>
        <w:rPr>
          <w:sz w:val="22"/>
        </w:rPr>
        <w:t>CMCC</w:t>
      </w:r>
      <w:bookmarkEnd w:id="1"/>
    </w:p>
    <w:p w14:paraId="1E2880FB">
      <w:pPr>
        <w:rPr>
          <w:sz w:val="22"/>
        </w:rPr>
      </w:pPr>
      <w:r>
        <w:rPr>
          <w:b/>
          <w:sz w:val="22"/>
        </w:rPr>
        <w:t xml:space="preserve">Title: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bookmarkStart w:id="2" w:name="OLE_LINK8"/>
      <w:bookmarkStart w:id="3" w:name="OLE_LINK7"/>
      <w:r>
        <w:rPr>
          <w:sz w:val="22"/>
        </w:rPr>
        <w:t xml:space="preserve"> </w:t>
      </w:r>
      <w:r>
        <w:rPr>
          <w:rFonts w:hint="eastAsia"/>
          <w:sz w:val="22"/>
        </w:rPr>
        <w:t>Discussion on interf</w:t>
      </w:r>
      <w:r>
        <w:rPr>
          <w:rFonts w:hint="eastAsia" w:eastAsia="宋体"/>
          <w:sz w:val="22"/>
          <w:lang w:val="en-US" w:eastAsia="zh-CN"/>
        </w:rPr>
        <w:t>e</w:t>
      </w:r>
      <w:r>
        <w:rPr>
          <w:rFonts w:hint="eastAsia"/>
          <w:sz w:val="22"/>
        </w:rPr>
        <w:t>rence suppressing</w:t>
      </w:r>
      <w:r>
        <w:rPr>
          <w:rFonts w:hint="eastAsia" w:eastAsia="宋体"/>
          <w:sz w:val="22"/>
          <w:lang w:val="en-US" w:eastAsia="zh-CN"/>
        </w:rPr>
        <w:t xml:space="preserve"> performance</w:t>
      </w:r>
      <w:r>
        <w:rPr>
          <w:rFonts w:hint="eastAsia"/>
          <w:sz w:val="22"/>
        </w:rPr>
        <w:t xml:space="preserve"> for </w:t>
      </w:r>
      <w:r>
        <w:rPr>
          <w:rFonts w:hint="eastAsia" w:eastAsia="宋体"/>
          <w:sz w:val="22"/>
          <w:lang w:val="en-US" w:eastAsia="zh-CN"/>
        </w:rPr>
        <w:t>8Rx UE</w:t>
      </w:r>
    </w:p>
    <w:bookmarkEnd w:id="2"/>
    <w:bookmarkEnd w:id="3"/>
    <w:p w14:paraId="4ADA15C3">
      <w:pPr>
        <w:tabs>
          <w:tab w:val="left" w:pos="1765"/>
        </w:tabs>
        <w:rPr>
          <w:sz w:val="22"/>
        </w:rPr>
      </w:pPr>
      <w:r>
        <w:rPr>
          <w:b/>
          <w:sz w:val="22"/>
        </w:rPr>
        <w:t>Document for:</w:t>
      </w:r>
      <w:r>
        <w:rPr>
          <w:b/>
          <w:sz w:val="22"/>
        </w:rPr>
        <w:tab/>
      </w:r>
      <w:r>
        <w:rPr>
          <w:sz w:val="22"/>
        </w:rPr>
        <w:t>Discussion</w:t>
      </w:r>
    </w:p>
    <w:p w14:paraId="611534F3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Introduction</w:t>
      </w:r>
    </w:p>
    <w:p w14:paraId="4AFF18DD">
      <w:pPr>
        <w:tabs>
          <w:tab w:val="left" w:pos="1134"/>
        </w:tabs>
        <w:spacing w:before="60"/>
        <w:jc w:val="both"/>
        <w:rPr>
          <w:rFonts w:hint="eastAsia" w:eastAsia="等线"/>
          <w:sz w:val="20"/>
          <w:szCs w:val="20"/>
          <w:lang w:val="en-US" w:eastAsia="zh-CN"/>
        </w:rPr>
      </w:pPr>
      <w:r>
        <w:rPr>
          <w:rFonts w:hint="eastAsia" w:eastAsia="等线"/>
          <w:sz w:val="20"/>
          <w:szCs w:val="20"/>
          <w:lang w:val="en-US" w:eastAsia="zh-CN"/>
        </w:rPr>
        <w:t>In last meeting, RAN4 discussed test scope and test parameters about interference suppressing performance for 8Rx UE, the WF has been approved in [1].</w:t>
      </w:r>
    </w:p>
    <w:p w14:paraId="506C437F">
      <w:pPr>
        <w:tabs>
          <w:tab w:val="left" w:pos="1134"/>
        </w:tabs>
        <w:spacing w:before="60"/>
        <w:jc w:val="both"/>
        <w:rPr>
          <w:rFonts w:hint="eastAsia" w:eastAsia="等线"/>
          <w:sz w:val="20"/>
          <w:szCs w:val="20"/>
          <w:lang w:val="en-US" w:eastAsia="zh-CN"/>
        </w:rPr>
      </w:pPr>
      <w:r>
        <w:rPr>
          <w:rFonts w:hint="eastAsia" w:eastAsia="等线"/>
          <w:sz w:val="20"/>
          <w:szCs w:val="20"/>
          <w:lang w:val="en-US" w:eastAsia="zh-CN"/>
        </w:rPr>
        <w:t>In this contribution, we further discuss the remaining open test parameters.</w:t>
      </w:r>
    </w:p>
    <w:p w14:paraId="25A6ECA6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</w:rPr>
      </w:pPr>
      <w:bookmarkStart w:id="4" w:name="OLE_LINK2"/>
      <w:bookmarkStart w:id="5" w:name="OLE_LINK1"/>
      <w:r>
        <w:rPr>
          <w:rFonts w:hint="eastAsia" w:ascii="Times New Roman" w:hAnsi="Times New Roman" w:eastAsia="宋体"/>
          <w:b w:val="0"/>
          <w:bCs w:val="0"/>
          <w:kern w:val="0"/>
          <w:sz w:val="36"/>
          <w:szCs w:val="36"/>
          <w:lang w:val="en-US" w:eastAsia="zh-CN"/>
        </w:rPr>
        <w:t>Discussion</w:t>
      </w:r>
    </w:p>
    <w:p w14:paraId="4CD43791">
      <w:pPr>
        <w:pStyle w:val="3"/>
        <w:numPr>
          <w:ilvl w:val="1"/>
          <w:numId w:val="3"/>
        </w:numPr>
        <w:pBdr>
          <w:top w:val="none" w:color="auto" w:sz="0" w:space="3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clear" w:pos="576"/>
        </w:tabs>
        <w:spacing w:before="120" w:after="60" w:line="240" w:lineRule="auto"/>
        <w:ind w:left="567" w:leftChars="0" w:hanging="567" w:firstLineChars="0"/>
        <w:outlineLvl w:val="1"/>
        <w:rPr>
          <w:rFonts w:hint="eastAsia" w:ascii="Times New Roman" w:hAnsi="Times New Roman" w:eastAsia="宋体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 w:val="0"/>
          <w:bCs w:val="0"/>
          <w:kern w:val="0"/>
          <w:sz w:val="32"/>
          <w:szCs w:val="32"/>
          <w:lang w:val="en-US" w:eastAsia="zh-CN"/>
        </w:rPr>
        <w:t>General</w:t>
      </w:r>
    </w:p>
    <w:p w14:paraId="259B6392">
      <w:pPr>
        <w:rPr>
          <w:b/>
          <w:i/>
          <w:iCs/>
          <w:sz w:val="20"/>
          <w:szCs w:val="20"/>
          <w:u w:val="single"/>
          <w:lang w:val="en-US" w:eastAsia="ko-KR"/>
        </w:rPr>
      </w:pPr>
      <w:r>
        <w:rPr>
          <w:b/>
          <w:i/>
          <w:iCs/>
          <w:sz w:val="20"/>
          <w:szCs w:val="20"/>
          <w:u w:val="single"/>
          <w:lang w:val="en-US" w:eastAsia="ko-KR"/>
        </w:rPr>
        <w:t>Definition of MMSE-IRC receiver capability for 8Rx UE</w:t>
      </w:r>
    </w:p>
    <w:p w14:paraId="5547A8D0">
      <w:pPr>
        <w:pStyle w:val="74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i/>
          <w:iCs/>
          <w:sz w:val="20"/>
          <w:szCs w:val="20"/>
          <w:lang w:val="en-US" w:eastAsia="zh-CN"/>
        </w:rPr>
      </w:pPr>
      <w:r>
        <w:rPr>
          <w:rFonts w:eastAsia="宋体"/>
          <w:i/>
          <w:iCs/>
          <w:sz w:val="20"/>
          <w:szCs w:val="20"/>
          <w:lang w:val="en-US" w:eastAsia="zh-CN"/>
        </w:rPr>
        <w:t>Proposals</w:t>
      </w:r>
    </w:p>
    <w:p w14:paraId="3924060F">
      <w:pPr>
        <w:pStyle w:val="74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i/>
          <w:iCs/>
          <w:sz w:val="20"/>
          <w:szCs w:val="20"/>
          <w:lang w:val="en-US" w:eastAsia="zh-CN"/>
        </w:rPr>
      </w:pPr>
      <w:r>
        <w:rPr>
          <w:rFonts w:eastAsia="宋体"/>
          <w:i/>
          <w:iCs/>
          <w:sz w:val="20"/>
          <w:szCs w:val="20"/>
          <w:lang w:val="en-US" w:eastAsia="zh-CN"/>
        </w:rPr>
        <w:t>Option 1:</w:t>
      </w:r>
      <w:r>
        <w:rPr>
          <w:rFonts w:eastAsia="宋体"/>
          <w:i/>
          <w:iCs/>
          <w:sz w:val="20"/>
          <w:szCs w:val="20"/>
          <w:lang w:val="en-US" w:eastAsia="zh-CN"/>
        </w:rPr>
        <w:br w:type="textWrapping"/>
      </w:r>
      <w:r>
        <w:rPr>
          <w:rFonts w:eastAsia="宋体"/>
          <w:i/>
          <w:iCs/>
          <w:sz w:val="20"/>
          <w:szCs w:val="20"/>
          <w:lang w:val="en-US" w:eastAsia="zh-CN"/>
        </w:rPr>
        <w:t>Not to introduce new UE capability in Rel-19 or to update the existing Rel-18 UE capability definition. Instead, clearly state in the applicability rule that the new Rel-19 requirements under MU-MIMO are applicable for UE supporting SU-MIMO 8Rx receiver.</w:t>
      </w:r>
    </w:p>
    <w:p w14:paraId="360946C4">
      <w:pPr>
        <w:pStyle w:val="74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i/>
          <w:iCs/>
          <w:sz w:val="20"/>
          <w:szCs w:val="20"/>
          <w:lang w:val="en-US" w:eastAsia="zh-CN"/>
        </w:rPr>
      </w:pPr>
      <w:r>
        <w:rPr>
          <w:rFonts w:eastAsia="宋体"/>
          <w:i/>
          <w:iCs/>
          <w:sz w:val="20"/>
          <w:szCs w:val="20"/>
          <w:lang w:val="en-US" w:eastAsia="zh-CN"/>
        </w:rPr>
        <w:t>Option 2:</w:t>
      </w:r>
      <w:r>
        <w:rPr>
          <w:rFonts w:eastAsia="宋体"/>
          <w:i/>
          <w:iCs/>
          <w:sz w:val="20"/>
          <w:szCs w:val="20"/>
          <w:lang w:val="en-US" w:eastAsia="zh-CN"/>
        </w:rPr>
        <w:br w:type="textWrapping"/>
      </w:r>
      <w:r>
        <w:rPr>
          <w:rFonts w:eastAsia="宋体"/>
          <w:i/>
          <w:iCs/>
          <w:sz w:val="20"/>
          <w:szCs w:val="20"/>
          <w:lang w:val="en-US" w:eastAsia="zh-CN"/>
        </w:rPr>
        <w:t>Update the existing Rel-18 UE capability definition as a maintenance part of the R18 FR1 RF enhancement WI.</w:t>
      </w:r>
    </w:p>
    <w:p w14:paraId="1CEC9476">
      <w:pPr>
        <w:pStyle w:val="74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i/>
          <w:iCs/>
          <w:sz w:val="20"/>
          <w:szCs w:val="20"/>
          <w:lang w:val="en-US" w:eastAsia="zh-CN"/>
        </w:rPr>
      </w:pPr>
      <w:r>
        <w:rPr>
          <w:rFonts w:eastAsia="宋体"/>
          <w:i/>
          <w:iCs/>
          <w:sz w:val="20"/>
          <w:szCs w:val="20"/>
          <w:lang w:val="en-US" w:eastAsia="zh-CN"/>
        </w:rPr>
        <w:t xml:space="preserve">Option 3: </w:t>
      </w:r>
      <w:r>
        <w:rPr>
          <w:rFonts w:eastAsia="宋体"/>
          <w:i/>
          <w:iCs/>
          <w:sz w:val="20"/>
          <w:szCs w:val="20"/>
          <w:lang w:val="en-US" w:eastAsia="zh-CN"/>
        </w:rPr>
        <w:br w:type="textWrapping"/>
      </w:r>
      <w:r>
        <w:rPr>
          <w:rFonts w:eastAsia="宋体"/>
          <w:i/>
          <w:iCs/>
          <w:sz w:val="20"/>
          <w:szCs w:val="20"/>
          <w:lang w:val="en-US" w:eastAsia="zh-CN"/>
        </w:rPr>
        <w:t>Introduce new Rel-19 UE capabilities for MU-MIMO 8Rx receiver. And clearly state that the UE supporting ‘MU-MIMO 8Rx receiver’ are also required to support ‘SU-MIMO 8Rx receiver’ capability.</w:t>
      </w:r>
    </w:p>
    <w:p w14:paraId="3B0842BE">
      <w:pPr>
        <w:pStyle w:val="74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i/>
          <w:iCs/>
          <w:sz w:val="20"/>
          <w:szCs w:val="20"/>
          <w:lang w:val="en-US" w:eastAsia="zh-CN"/>
        </w:rPr>
      </w:pPr>
      <w:r>
        <w:rPr>
          <w:rFonts w:eastAsia="宋体"/>
          <w:i/>
          <w:iCs/>
          <w:sz w:val="20"/>
          <w:szCs w:val="20"/>
          <w:lang w:val="en-US" w:eastAsia="zh-CN"/>
        </w:rPr>
        <w:t>Option 4:</w:t>
      </w:r>
      <w:r>
        <w:rPr>
          <w:rFonts w:eastAsia="宋体"/>
          <w:i/>
          <w:iCs/>
          <w:sz w:val="20"/>
          <w:szCs w:val="20"/>
          <w:lang w:val="en-US" w:eastAsia="zh-CN"/>
        </w:rPr>
        <w:br w:type="textWrapping"/>
      </w:r>
      <w:r>
        <w:rPr>
          <w:i/>
          <w:iCs/>
          <w:sz w:val="20"/>
          <w:szCs w:val="20"/>
          <w:lang w:val="en-US"/>
        </w:rPr>
        <w:t>Redefine the simplified and baseline receiver definitions in 38.101-4 section 3.1 to the following:</w:t>
      </w:r>
      <w:r>
        <w:rPr>
          <w:i/>
          <w:iCs/>
          <w:sz w:val="20"/>
          <w:szCs w:val="20"/>
          <w:lang w:val="en-US"/>
        </w:rPr>
        <w:br w:type="textWrapping"/>
      </w:r>
      <w:r>
        <w:rPr>
          <w:i/>
          <w:iCs/>
          <w:sz w:val="20"/>
          <w:szCs w:val="20"/>
          <w:lang w:val="en-US"/>
        </w:rPr>
        <w:t xml:space="preserve">- </w:t>
      </w:r>
      <w:r>
        <w:rPr>
          <w:bCs/>
          <w:i/>
          <w:iCs/>
          <w:sz w:val="20"/>
          <w:szCs w:val="20"/>
          <w:lang w:val="en-US"/>
        </w:rPr>
        <w:t xml:space="preserve">Baseline 8Rx Receiver: </w:t>
      </w:r>
      <w:r>
        <w:rPr>
          <w:i/>
          <w:iCs/>
          <w:sz w:val="20"/>
          <w:szCs w:val="20"/>
          <w:lang w:val="en-US"/>
        </w:rPr>
        <w:t>8Rx receivers for MIMO transmissions with support of up to 8 layers with joint 8Rx MIMO detector.</w:t>
      </w:r>
      <w:r>
        <w:rPr>
          <w:i/>
          <w:iCs/>
          <w:sz w:val="20"/>
          <w:szCs w:val="20"/>
          <w:lang w:val="en-US"/>
        </w:rPr>
        <w:br w:type="textWrapping"/>
      </w:r>
      <w:r>
        <w:rPr>
          <w:bCs/>
          <w:i/>
          <w:iCs/>
          <w:sz w:val="20"/>
          <w:szCs w:val="20"/>
          <w:lang w:val="en-US"/>
        </w:rPr>
        <w:t xml:space="preserve">- Simplified 8Rx Receiver: </w:t>
      </w:r>
      <w:r>
        <w:rPr>
          <w:i/>
          <w:iCs/>
          <w:sz w:val="20"/>
          <w:szCs w:val="20"/>
          <w:lang w:val="en-US"/>
        </w:rPr>
        <w:t>8Rx receivers for MIMO transmissions with support of only up to 4 layers with two joint 4Rx MIMO detectors.</w:t>
      </w:r>
    </w:p>
    <w:p w14:paraId="2897EE4F">
      <w:pPr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/>
        <w:jc w:val="both"/>
        <w:textAlignment w:val="auto"/>
        <w:rPr>
          <w:rFonts w:hint="eastAsia" w:eastAsia="等线"/>
          <w:sz w:val="20"/>
          <w:szCs w:val="20"/>
          <w:lang w:val="en-US" w:eastAsia="zh-CN"/>
        </w:rPr>
      </w:pPr>
      <w:r>
        <w:rPr>
          <w:rFonts w:hint="eastAsia" w:eastAsia="等线"/>
          <w:sz w:val="20"/>
          <w:szCs w:val="20"/>
          <w:lang w:val="en-US" w:eastAsia="zh-CN"/>
        </w:rPr>
        <w:t>Considering the baseline and simplified 8Rx MMSE-IRC receiver have the same implementation in both SU-MIMO and MU-MIMO scenario, we prefer to reuse the Rel-18 capabilities rather than defining new Rel-19 capabilities. To ensure accurate description of Rel-18 capabilities, the existing Rel-18 UE capability definition need to be updated like stated in Option 4, through the method proposed in Option 2.</w:t>
      </w:r>
    </w:p>
    <w:p w14:paraId="7B000CA3">
      <w:pPr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/>
        <w:jc w:val="both"/>
        <w:textAlignment w:val="auto"/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Proposal 1: Update the existing Rel-18 UE capabilities definition as below in R18 FR1 RF enhancement WI maintenance:</w:t>
      </w:r>
    </w:p>
    <w:p w14:paraId="5F0B6202">
      <w:pPr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378"/>
          <w:tab w:val="left" w:pos="441"/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/>
        <w:ind w:left="420" w:leftChars="0" w:hanging="420" w:firstLineChars="0"/>
        <w:jc w:val="both"/>
        <w:textAlignment w:val="auto"/>
        <w:rPr>
          <w:rFonts w:hint="default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Baseline 8Rx Receiver: 8Rx receivers for MIMO transmissions with support of up to 8 layers with joint 8Rx MIMO detector.</w:t>
      </w:r>
    </w:p>
    <w:p w14:paraId="00A7EBA5">
      <w:pPr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378"/>
          <w:tab w:val="left" w:pos="441"/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/>
        <w:ind w:left="420" w:leftChars="0" w:hanging="420" w:firstLineChars="0"/>
        <w:jc w:val="both"/>
        <w:textAlignment w:val="auto"/>
        <w:rPr>
          <w:rFonts w:hint="default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Simplified 8Rx Receiver: 8Rx receivers for MIMO transmissions with support of only up to 4 layers with two joint 4Rx MIMO detectors.</w:t>
      </w:r>
    </w:p>
    <w:p w14:paraId="15ED47A2">
      <w:pPr>
        <w:rPr>
          <w:b/>
          <w:u w:val="single"/>
          <w:lang w:val="en-US"/>
        </w:rPr>
      </w:pPr>
    </w:p>
    <w:p w14:paraId="2087DD65">
      <w:pPr>
        <w:rPr>
          <w:b/>
          <w:i/>
          <w:iCs/>
          <w:sz w:val="20"/>
          <w:szCs w:val="20"/>
          <w:u w:val="single"/>
          <w:lang w:val="en-US"/>
        </w:rPr>
      </w:pPr>
      <w:r>
        <w:rPr>
          <w:b/>
          <w:i/>
          <w:iCs/>
          <w:sz w:val="20"/>
          <w:szCs w:val="20"/>
          <w:u w:val="single"/>
          <w:lang w:val="en-US"/>
        </w:rPr>
        <w:t>8Rx UE MMSE-IRC receiver coverage</w:t>
      </w:r>
    </w:p>
    <w:p w14:paraId="1571D813">
      <w:pPr>
        <w:pStyle w:val="74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i/>
          <w:iCs/>
          <w:sz w:val="20"/>
          <w:szCs w:val="20"/>
          <w:lang w:val="en-US" w:eastAsia="zh-CN"/>
        </w:rPr>
      </w:pPr>
      <w:r>
        <w:rPr>
          <w:rFonts w:eastAsia="宋体"/>
          <w:i/>
          <w:iCs/>
          <w:sz w:val="20"/>
          <w:szCs w:val="20"/>
          <w:lang w:val="en-US" w:eastAsia="zh-CN"/>
        </w:rPr>
        <w:t>Proposals</w:t>
      </w:r>
    </w:p>
    <w:p w14:paraId="4B7B20B3">
      <w:pPr>
        <w:pStyle w:val="74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i/>
          <w:iCs/>
          <w:sz w:val="20"/>
          <w:szCs w:val="20"/>
          <w:lang w:val="en-US" w:eastAsia="zh-CN"/>
        </w:rPr>
      </w:pPr>
      <w:r>
        <w:rPr>
          <w:rFonts w:eastAsia="宋体"/>
          <w:i/>
          <w:iCs/>
          <w:sz w:val="20"/>
          <w:szCs w:val="20"/>
          <w:lang w:val="en-US" w:eastAsia="zh-CN"/>
        </w:rPr>
        <w:t>Option 1:</w:t>
      </w:r>
      <w:r>
        <w:rPr>
          <w:rFonts w:eastAsia="宋体"/>
          <w:i/>
          <w:iCs/>
          <w:sz w:val="20"/>
          <w:szCs w:val="20"/>
          <w:lang w:val="en-US" w:eastAsia="zh-CN"/>
        </w:rPr>
        <w:br w:type="textWrapping"/>
      </w:r>
      <w:r>
        <w:rPr>
          <w:rFonts w:eastAsia="宋体"/>
          <w:i/>
          <w:iCs/>
          <w:sz w:val="20"/>
          <w:szCs w:val="20"/>
          <w:lang w:val="en-US" w:eastAsia="zh-CN"/>
        </w:rPr>
        <w:t>RAN4 to define two sets of requirements (baseline 8Rx receiver and simplified 8Rx receiver).</w:t>
      </w:r>
    </w:p>
    <w:p w14:paraId="4DA25E06">
      <w:pPr>
        <w:pStyle w:val="74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i/>
          <w:iCs/>
          <w:sz w:val="20"/>
          <w:szCs w:val="20"/>
          <w:lang w:val="en-US" w:eastAsia="zh-CN"/>
        </w:rPr>
      </w:pPr>
      <w:r>
        <w:rPr>
          <w:rFonts w:eastAsia="宋体"/>
          <w:i/>
          <w:iCs/>
          <w:sz w:val="20"/>
          <w:szCs w:val="20"/>
          <w:lang w:val="en-US" w:eastAsia="zh-CN"/>
        </w:rPr>
        <w:t xml:space="preserve">Option 2: </w:t>
      </w:r>
      <w:r>
        <w:rPr>
          <w:rFonts w:eastAsia="宋体"/>
          <w:i/>
          <w:iCs/>
          <w:sz w:val="20"/>
          <w:szCs w:val="20"/>
          <w:lang w:val="en-US" w:eastAsia="zh-CN"/>
        </w:rPr>
        <w:br w:type="textWrapping"/>
      </w:r>
      <w:r>
        <w:rPr>
          <w:rFonts w:eastAsia="宋体"/>
          <w:i/>
          <w:iCs/>
          <w:sz w:val="20"/>
          <w:szCs w:val="20"/>
          <w:lang w:val="en-US" w:eastAsia="zh-CN"/>
        </w:rPr>
        <w:t>Set the criteria for defining two sets of requirements as: If the span after removing a reasonable number or outliers (at least 5 results should be left) is &gt;2.5dB, define two sets of requirements. The evaluation of the span shall be done for each configuration agreed for requirement definition.</w:t>
      </w:r>
    </w:p>
    <w:p w14:paraId="68FDF4B4">
      <w:pPr>
        <w:pStyle w:val="74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i/>
          <w:iCs/>
          <w:sz w:val="20"/>
          <w:szCs w:val="20"/>
          <w:lang w:val="en-US" w:eastAsia="zh-CN"/>
        </w:rPr>
      </w:pPr>
      <w:r>
        <w:rPr>
          <w:i/>
          <w:iCs/>
          <w:sz w:val="20"/>
          <w:szCs w:val="20"/>
          <w:lang w:val="en-US" w:eastAsia="zh-CN"/>
        </w:rPr>
        <w:t xml:space="preserve">Option 3: </w:t>
      </w:r>
      <w:r>
        <w:rPr>
          <w:i/>
          <w:iCs/>
          <w:sz w:val="20"/>
          <w:szCs w:val="20"/>
          <w:lang w:val="en-US" w:eastAsia="zh-CN"/>
        </w:rPr>
        <w:br w:type="textWrapping"/>
      </w:r>
      <w:r>
        <w:rPr>
          <w:i/>
          <w:iCs/>
          <w:sz w:val="20"/>
          <w:szCs w:val="20"/>
          <w:lang w:val="en-US" w:eastAsia="zh-CN"/>
        </w:rPr>
        <w:t>Postpone defining criteria for decision of one or two sets of requirements until all test cases are finalized.</w:t>
      </w:r>
    </w:p>
    <w:p w14:paraId="75172B2F">
      <w:pPr>
        <w:tabs>
          <w:tab w:val="left" w:pos="1134"/>
        </w:tabs>
        <w:spacing w:before="60"/>
        <w:jc w:val="both"/>
        <w:rPr>
          <w:rFonts w:hint="default" w:eastAsia="等线"/>
          <w:sz w:val="20"/>
          <w:szCs w:val="20"/>
          <w:lang w:val="en-US" w:eastAsia="zh-CN"/>
        </w:rPr>
      </w:pPr>
      <w:r>
        <w:rPr>
          <w:rFonts w:hint="eastAsia" w:eastAsia="等线"/>
          <w:sz w:val="20"/>
          <w:szCs w:val="20"/>
          <w:lang w:val="en-US" w:eastAsia="zh-CN"/>
        </w:rPr>
        <w:t>Based on our simulation results shown in R4-2500845, for ICI scenario, the span between baseline 8Rx receiver and simplified 8Rx receiver is about 0.09-5.52dB. For IUI scenario, the span between baseline 8Rx receiver and simplified 8Rx receiver is about 3.18-Inf dB.</w:t>
      </w:r>
    </w:p>
    <w:tbl>
      <w:tblPr>
        <w:tblStyle w:val="2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7"/>
        <w:gridCol w:w="1840"/>
        <w:gridCol w:w="2653"/>
        <w:gridCol w:w="2553"/>
      </w:tblGrid>
      <w:tr w14:paraId="06D1A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67" w:type="dxa"/>
            <w:gridSpan w:val="2"/>
            <w:vMerge w:val="restart"/>
            <w:vAlign w:val="center"/>
          </w:tcPr>
          <w:p w14:paraId="6D42BB36">
            <w:pPr>
              <w:tabs>
                <w:tab w:val="left" w:pos="1134"/>
              </w:tabs>
              <w:spacing w:before="60"/>
              <w:jc w:val="both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ICI scenario</w:t>
            </w:r>
          </w:p>
        </w:tc>
        <w:tc>
          <w:tcPr>
            <w:tcW w:w="5206" w:type="dxa"/>
            <w:gridSpan w:val="2"/>
          </w:tcPr>
          <w:p w14:paraId="15F28B87">
            <w:pPr>
              <w:tabs>
                <w:tab w:val="left" w:pos="1134"/>
              </w:tabs>
              <w:spacing w:before="60"/>
              <w:jc w:val="center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SNR span between baseline and simplified 8Rx IRC receiver</w:t>
            </w:r>
          </w:p>
        </w:tc>
      </w:tr>
      <w:tr w14:paraId="145CC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267" w:type="dxa"/>
            <w:gridSpan w:val="2"/>
            <w:vMerge w:val="continue"/>
          </w:tcPr>
          <w:p w14:paraId="1EEA96F7">
            <w:pPr>
              <w:tabs>
                <w:tab w:val="left" w:pos="1134"/>
              </w:tabs>
              <w:spacing w:before="60"/>
              <w:jc w:val="both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653" w:type="dxa"/>
          </w:tcPr>
          <w:p w14:paraId="5943A615">
            <w:pPr>
              <w:tabs>
                <w:tab w:val="left" w:pos="1134"/>
              </w:tabs>
              <w:spacing w:before="60"/>
              <w:jc w:val="center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HomNet</w:t>
            </w:r>
          </w:p>
        </w:tc>
        <w:tc>
          <w:tcPr>
            <w:tcW w:w="2553" w:type="dxa"/>
          </w:tcPr>
          <w:p w14:paraId="22412BDA">
            <w:pPr>
              <w:tabs>
                <w:tab w:val="left" w:pos="1134"/>
              </w:tabs>
              <w:spacing w:before="60"/>
              <w:jc w:val="center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HetNet</w:t>
            </w:r>
          </w:p>
        </w:tc>
      </w:tr>
      <w:tr w14:paraId="3EFB2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7" w:type="dxa"/>
          </w:tcPr>
          <w:p w14:paraId="2898FBFC">
            <w:pPr>
              <w:tabs>
                <w:tab w:val="left" w:pos="1134"/>
              </w:tabs>
              <w:spacing w:before="60"/>
              <w:jc w:val="both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FDD</w:t>
            </w:r>
          </w:p>
        </w:tc>
        <w:tc>
          <w:tcPr>
            <w:tcW w:w="1840" w:type="dxa"/>
            <w:vAlign w:val="top"/>
          </w:tcPr>
          <w:p w14:paraId="53F35216">
            <w:pPr>
              <w:tabs>
                <w:tab w:val="left" w:pos="1134"/>
              </w:tabs>
              <w:spacing w:before="60"/>
              <w:jc w:val="both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2T8R Rank 1</w:t>
            </w:r>
          </w:p>
        </w:tc>
        <w:tc>
          <w:tcPr>
            <w:tcW w:w="2653" w:type="dxa"/>
            <w:vAlign w:val="center"/>
          </w:tcPr>
          <w:p w14:paraId="6732EB4E">
            <w:pPr>
              <w:tabs>
                <w:tab w:val="left" w:pos="1134"/>
              </w:tabs>
              <w:spacing w:before="60"/>
              <w:jc w:val="center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0.81</w:t>
            </w:r>
          </w:p>
        </w:tc>
        <w:tc>
          <w:tcPr>
            <w:tcW w:w="2553" w:type="dxa"/>
            <w:vAlign w:val="center"/>
          </w:tcPr>
          <w:p w14:paraId="1BA422FF">
            <w:pPr>
              <w:tabs>
                <w:tab w:val="left" w:pos="1134"/>
              </w:tabs>
              <w:spacing w:before="60"/>
              <w:jc w:val="center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0.27</w:t>
            </w:r>
          </w:p>
        </w:tc>
      </w:tr>
      <w:tr w14:paraId="5EE6D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7" w:type="dxa"/>
          </w:tcPr>
          <w:p w14:paraId="7DC4B38E">
            <w:pPr>
              <w:tabs>
                <w:tab w:val="left" w:pos="1134"/>
              </w:tabs>
              <w:spacing w:before="60"/>
              <w:jc w:val="both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40" w:type="dxa"/>
            <w:vAlign w:val="top"/>
          </w:tcPr>
          <w:p w14:paraId="22BE7AE3">
            <w:pPr>
              <w:tabs>
                <w:tab w:val="left" w:pos="1134"/>
              </w:tabs>
              <w:spacing w:before="60"/>
              <w:jc w:val="both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2T8R Rank 2</w:t>
            </w:r>
          </w:p>
        </w:tc>
        <w:tc>
          <w:tcPr>
            <w:tcW w:w="2653" w:type="dxa"/>
            <w:vAlign w:val="center"/>
          </w:tcPr>
          <w:p w14:paraId="51C9BCCE">
            <w:pPr>
              <w:tabs>
                <w:tab w:val="left" w:pos="1134"/>
              </w:tabs>
              <w:spacing w:before="60"/>
              <w:jc w:val="center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2.41</w:t>
            </w:r>
          </w:p>
        </w:tc>
        <w:tc>
          <w:tcPr>
            <w:tcW w:w="2553" w:type="dxa"/>
            <w:vAlign w:val="center"/>
          </w:tcPr>
          <w:p w14:paraId="1E344042">
            <w:pPr>
              <w:tabs>
                <w:tab w:val="left" w:pos="1134"/>
              </w:tabs>
              <w:spacing w:before="60"/>
              <w:jc w:val="center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1.19</w:t>
            </w:r>
          </w:p>
        </w:tc>
      </w:tr>
      <w:tr w14:paraId="5E4FE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7" w:type="dxa"/>
          </w:tcPr>
          <w:p w14:paraId="1BE670F0">
            <w:pPr>
              <w:tabs>
                <w:tab w:val="left" w:pos="1134"/>
              </w:tabs>
              <w:spacing w:before="60"/>
              <w:jc w:val="both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40" w:type="dxa"/>
            <w:vAlign w:val="top"/>
          </w:tcPr>
          <w:p w14:paraId="21CFF9F6">
            <w:pPr>
              <w:tabs>
                <w:tab w:val="left" w:pos="1134"/>
              </w:tabs>
              <w:spacing w:before="60"/>
              <w:jc w:val="both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4T8R Rank 4</w:t>
            </w:r>
          </w:p>
        </w:tc>
        <w:tc>
          <w:tcPr>
            <w:tcW w:w="2653" w:type="dxa"/>
            <w:vAlign w:val="center"/>
          </w:tcPr>
          <w:p w14:paraId="7AB93AA0">
            <w:pPr>
              <w:tabs>
                <w:tab w:val="left" w:pos="1134"/>
              </w:tabs>
              <w:spacing w:before="60"/>
              <w:jc w:val="center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5.47</w:t>
            </w:r>
          </w:p>
        </w:tc>
        <w:tc>
          <w:tcPr>
            <w:tcW w:w="2553" w:type="dxa"/>
            <w:vAlign w:val="center"/>
          </w:tcPr>
          <w:p w14:paraId="38B3B9F9">
            <w:pPr>
              <w:tabs>
                <w:tab w:val="left" w:pos="1134"/>
              </w:tabs>
              <w:spacing w:before="60"/>
              <w:jc w:val="center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4.28</w:t>
            </w:r>
          </w:p>
        </w:tc>
      </w:tr>
      <w:tr w14:paraId="1478E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7" w:type="dxa"/>
          </w:tcPr>
          <w:p w14:paraId="72A1F64C">
            <w:pPr>
              <w:tabs>
                <w:tab w:val="left" w:pos="1134"/>
              </w:tabs>
              <w:spacing w:before="60"/>
              <w:jc w:val="both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TDD</w:t>
            </w:r>
          </w:p>
        </w:tc>
        <w:tc>
          <w:tcPr>
            <w:tcW w:w="1840" w:type="dxa"/>
            <w:vAlign w:val="top"/>
          </w:tcPr>
          <w:p w14:paraId="18111875">
            <w:pPr>
              <w:tabs>
                <w:tab w:val="left" w:pos="1134"/>
              </w:tabs>
              <w:spacing w:before="60"/>
              <w:jc w:val="both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2T8R Rank 1</w:t>
            </w:r>
          </w:p>
        </w:tc>
        <w:tc>
          <w:tcPr>
            <w:tcW w:w="2653" w:type="dxa"/>
            <w:vAlign w:val="center"/>
          </w:tcPr>
          <w:p w14:paraId="1D276DF6">
            <w:pPr>
              <w:tabs>
                <w:tab w:val="left" w:pos="1134"/>
              </w:tabs>
              <w:spacing w:before="60"/>
              <w:jc w:val="center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0.79</w:t>
            </w:r>
          </w:p>
        </w:tc>
        <w:tc>
          <w:tcPr>
            <w:tcW w:w="2553" w:type="dxa"/>
            <w:vAlign w:val="center"/>
          </w:tcPr>
          <w:p w14:paraId="22169027">
            <w:pPr>
              <w:tabs>
                <w:tab w:val="left" w:pos="1134"/>
              </w:tabs>
              <w:spacing w:before="60"/>
              <w:jc w:val="center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0.09</w:t>
            </w:r>
          </w:p>
        </w:tc>
      </w:tr>
      <w:tr w14:paraId="0974E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7" w:type="dxa"/>
          </w:tcPr>
          <w:p w14:paraId="4BAA14A7">
            <w:pPr>
              <w:tabs>
                <w:tab w:val="left" w:pos="1134"/>
              </w:tabs>
              <w:spacing w:before="60"/>
              <w:jc w:val="both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40" w:type="dxa"/>
            <w:vAlign w:val="top"/>
          </w:tcPr>
          <w:p w14:paraId="5E126682">
            <w:pPr>
              <w:tabs>
                <w:tab w:val="left" w:pos="1134"/>
              </w:tabs>
              <w:spacing w:before="60"/>
              <w:jc w:val="both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2T8R Rank 2</w:t>
            </w:r>
          </w:p>
        </w:tc>
        <w:tc>
          <w:tcPr>
            <w:tcW w:w="2653" w:type="dxa"/>
            <w:vAlign w:val="center"/>
          </w:tcPr>
          <w:p w14:paraId="15C489C6">
            <w:pPr>
              <w:tabs>
                <w:tab w:val="left" w:pos="1134"/>
              </w:tabs>
              <w:spacing w:before="60"/>
              <w:jc w:val="center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2.08</w:t>
            </w:r>
          </w:p>
        </w:tc>
        <w:tc>
          <w:tcPr>
            <w:tcW w:w="2553" w:type="dxa"/>
            <w:vAlign w:val="center"/>
          </w:tcPr>
          <w:p w14:paraId="1C866637">
            <w:pPr>
              <w:tabs>
                <w:tab w:val="left" w:pos="1134"/>
              </w:tabs>
              <w:spacing w:before="60"/>
              <w:jc w:val="center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1.24</w:t>
            </w:r>
          </w:p>
        </w:tc>
      </w:tr>
      <w:tr w14:paraId="151B7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7" w:type="dxa"/>
          </w:tcPr>
          <w:p w14:paraId="64EEB450">
            <w:pPr>
              <w:tabs>
                <w:tab w:val="left" w:pos="1134"/>
              </w:tabs>
              <w:spacing w:before="60"/>
              <w:jc w:val="both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1840" w:type="dxa"/>
            <w:vAlign w:val="top"/>
          </w:tcPr>
          <w:p w14:paraId="76D81574">
            <w:pPr>
              <w:tabs>
                <w:tab w:val="left" w:pos="1134"/>
              </w:tabs>
              <w:spacing w:before="60"/>
              <w:jc w:val="both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4T8R Rank 4</w:t>
            </w:r>
          </w:p>
        </w:tc>
        <w:tc>
          <w:tcPr>
            <w:tcW w:w="2653" w:type="dxa"/>
            <w:vAlign w:val="center"/>
          </w:tcPr>
          <w:p w14:paraId="1E2C3C32">
            <w:pPr>
              <w:tabs>
                <w:tab w:val="left" w:pos="1134"/>
              </w:tabs>
              <w:spacing w:before="60"/>
              <w:jc w:val="center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5.52</w:t>
            </w:r>
          </w:p>
        </w:tc>
        <w:tc>
          <w:tcPr>
            <w:tcW w:w="2553" w:type="dxa"/>
            <w:vAlign w:val="center"/>
          </w:tcPr>
          <w:p w14:paraId="3DF22C7E">
            <w:pPr>
              <w:tabs>
                <w:tab w:val="left" w:pos="1134"/>
              </w:tabs>
              <w:spacing w:before="60"/>
              <w:jc w:val="center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4.32</w:t>
            </w:r>
          </w:p>
        </w:tc>
      </w:tr>
    </w:tbl>
    <w:p w14:paraId="739BAA50">
      <w:pPr>
        <w:tabs>
          <w:tab w:val="left" w:pos="1134"/>
        </w:tabs>
        <w:spacing w:before="60"/>
        <w:jc w:val="both"/>
        <w:rPr>
          <w:rFonts w:hint="eastAsia" w:eastAsia="等线"/>
          <w:sz w:val="20"/>
          <w:szCs w:val="20"/>
          <w:lang w:val="en-US" w:eastAsia="zh-CN"/>
        </w:rPr>
      </w:pPr>
    </w:p>
    <w:tbl>
      <w:tblPr>
        <w:tblStyle w:val="2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2546"/>
        <w:gridCol w:w="5206"/>
      </w:tblGrid>
      <w:tr w14:paraId="67B2D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267" w:type="dxa"/>
            <w:gridSpan w:val="2"/>
            <w:vAlign w:val="top"/>
          </w:tcPr>
          <w:p w14:paraId="408DA753">
            <w:pPr>
              <w:tabs>
                <w:tab w:val="left" w:pos="1134"/>
              </w:tabs>
              <w:spacing w:before="60"/>
              <w:jc w:val="left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IUI scenario</w:t>
            </w:r>
          </w:p>
        </w:tc>
        <w:tc>
          <w:tcPr>
            <w:tcW w:w="5206" w:type="dxa"/>
            <w:vAlign w:val="top"/>
          </w:tcPr>
          <w:p w14:paraId="1D8B31FF">
            <w:pPr>
              <w:tabs>
                <w:tab w:val="left" w:pos="1134"/>
              </w:tabs>
              <w:spacing w:before="60"/>
              <w:jc w:val="left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SNR span between baseline and simplified 8Rx IRC receiver</w:t>
            </w:r>
          </w:p>
        </w:tc>
      </w:tr>
      <w:tr w14:paraId="26B158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1" w:type="dxa"/>
          </w:tcPr>
          <w:p w14:paraId="460A7004">
            <w:pPr>
              <w:tabs>
                <w:tab w:val="left" w:pos="1134"/>
              </w:tabs>
              <w:spacing w:before="60"/>
              <w:jc w:val="both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FDD</w:t>
            </w:r>
          </w:p>
        </w:tc>
        <w:tc>
          <w:tcPr>
            <w:tcW w:w="2546" w:type="dxa"/>
            <w:vAlign w:val="top"/>
          </w:tcPr>
          <w:p w14:paraId="6421AC75">
            <w:pPr>
              <w:tabs>
                <w:tab w:val="left" w:pos="1134"/>
              </w:tabs>
              <w:spacing w:before="60"/>
              <w:jc w:val="both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4T8R Rank 2+2 (MCS17)</w:t>
            </w:r>
          </w:p>
        </w:tc>
        <w:tc>
          <w:tcPr>
            <w:tcW w:w="5206" w:type="dxa"/>
            <w:vAlign w:val="center"/>
          </w:tcPr>
          <w:p w14:paraId="05A86ED5">
            <w:pPr>
              <w:tabs>
                <w:tab w:val="left" w:pos="1134"/>
              </w:tabs>
              <w:spacing w:before="60"/>
              <w:jc w:val="center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3.18</w:t>
            </w:r>
          </w:p>
        </w:tc>
      </w:tr>
      <w:tr w14:paraId="0A245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721" w:type="dxa"/>
          </w:tcPr>
          <w:p w14:paraId="299A4BC9">
            <w:pPr>
              <w:tabs>
                <w:tab w:val="left" w:pos="1134"/>
              </w:tabs>
              <w:spacing w:before="60"/>
              <w:jc w:val="both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546" w:type="dxa"/>
            <w:vAlign w:val="top"/>
          </w:tcPr>
          <w:p w14:paraId="1586C0C4">
            <w:pPr>
              <w:tabs>
                <w:tab w:val="left" w:pos="1134"/>
              </w:tabs>
              <w:spacing w:before="60"/>
              <w:jc w:val="both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4T8R Rank 2+2（MCS19）</w:t>
            </w:r>
          </w:p>
        </w:tc>
        <w:tc>
          <w:tcPr>
            <w:tcW w:w="5206" w:type="dxa"/>
            <w:vAlign w:val="center"/>
          </w:tcPr>
          <w:p w14:paraId="287DB00C">
            <w:pPr>
              <w:tabs>
                <w:tab w:val="left" w:pos="1134"/>
              </w:tabs>
              <w:spacing w:before="60"/>
              <w:jc w:val="center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3.41</w:t>
            </w:r>
          </w:p>
        </w:tc>
      </w:tr>
      <w:tr w14:paraId="209DE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1" w:type="dxa"/>
          </w:tcPr>
          <w:p w14:paraId="22A8CE2D">
            <w:pPr>
              <w:tabs>
                <w:tab w:val="left" w:pos="1134"/>
              </w:tabs>
              <w:spacing w:before="60"/>
              <w:jc w:val="both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</w:p>
        </w:tc>
        <w:tc>
          <w:tcPr>
            <w:tcW w:w="2546" w:type="dxa"/>
            <w:vAlign w:val="top"/>
          </w:tcPr>
          <w:p w14:paraId="66458A64">
            <w:pPr>
              <w:tabs>
                <w:tab w:val="left" w:pos="1134"/>
              </w:tabs>
              <w:spacing w:before="60"/>
              <w:jc w:val="both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8T8R Rank 4+4</w:t>
            </w:r>
          </w:p>
        </w:tc>
        <w:tc>
          <w:tcPr>
            <w:tcW w:w="5206" w:type="dxa"/>
            <w:vAlign w:val="center"/>
          </w:tcPr>
          <w:p w14:paraId="730B6121">
            <w:pPr>
              <w:tabs>
                <w:tab w:val="left" w:pos="1134"/>
              </w:tabs>
              <w:spacing w:before="60"/>
              <w:jc w:val="center"/>
              <w:rPr>
                <w:rFonts w:hint="default" w:eastAsia="等线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eastAsia="等线"/>
                <w:sz w:val="20"/>
                <w:szCs w:val="20"/>
                <w:vertAlign w:val="baseline"/>
                <w:lang w:val="en-US" w:eastAsia="zh-CN"/>
              </w:rPr>
              <w:t>Inf</w:t>
            </w:r>
          </w:p>
        </w:tc>
      </w:tr>
    </w:tbl>
    <w:p w14:paraId="58188669">
      <w:pPr>
        <w:tabs>
          <w:tab w:val="left" w:pos="1134"/>
        </w:tabs>
        <w:spacing w:before="60"/>
        <w:jc w:val="both"/>
        <w:rPr>
          <w:rFonts w:hint="default" w:eastAsia="等线"/>
          <w:sz w:val="20"/>
          <w:szCs w:val="20"/>
          <w:lang w:val="en-US" w:eastAsia="zh-CN"/>
        </w:rPr>
      </w:pPr>
      <w:r>
        <w:rPr>
          <w:rFonts w:hint="eastAsia" w:eastAsia="等线"/>
          <w:sz w:val="20"/>
          <w:szCs w:val="20"/>
          <w:lang w:val="en-US" w:eastAsia="zh-CN"/>
        </w:rPr>
        <w:t>To define two sets of requirements, there should be valid SNR requirements and obvious SNR span between baseline receiver and simplified receiver. In our simulation results, for ICI scenario, 4T8R Rank 4 meet such criteria, and for IUI scenario, Rank 2+2 meet the criteria. Therefore, we propose at least define two sets of requirements for the case of 4T8R Rank 4 for ICI scenario, and define two sets of requirements for the case of Rank 2+2 for IUI scenario.</w:t>
      </w:r>
    </w:p>
    <w:p w14:paraId="3B935802">
      <w:pPr>
        <w:numPr>
          <w:ilvl w:val="0"/>
          <w:numId w:val="0"/>
        </w:numPr>
        <w:tabs>
          <w:tab w:val="left" w:pos="1134"/>
        </w:tabs>
        <w:spacing w:before="156" w:beforeLines="50"/>
        <w:jc w:val="both"/>
        <w:rPr>
          <w:rFonts w:hint="default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Proposal 2: For ICI scenario, at least define two sets of requirements for the case of 4T8R Rank 4.</w:t>
      </w:r>
    </w:p>
    <w:p w14:paraId="02AC0CBA">
      <w:pPr>
        <w:numPr>
          <w:ilvl w:val="0"/>
          <w:numId w:val="0"/>
        </w:numPr>
        <w:tabs>
          <w:tab w:val="left" w:pos="1134"/>
        </w:tabs>
        <w:spacing w:before="156" w:beforeLines="50"/>
        <w:jc w:val="both"/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Proposal 3: For IUI scenario, define two sets of requirements for the case of Rank 2+2.</w:t>
      </w:r>
    </w:p>
    <w:p w14:paraId="0AE5E131">
      <w:pPr>
        <w:numPr>
          <w:ilvl w:val="0"/>
          <w:numId w:val="0"/>
        </w:numPr>
        <w:tabs>
          <w:tab w:val="left" w:pos="1134"/>
        </w:tabs>
        <w:spacing w:before="156" w:beforeLines="50"/>
        <w:jc w:val="both"/>
        <w:rPr>
          <w:rFonts w:hint="default" w:eastAsia="等线"/>
          <w:b/>
          <w:bCs/>
          <w:i/>
          <w:iCs/>
          <w:sz w:val="20"/>
          <w:szCs w:val="20"/>
          <w:lang w:val="en-US" w:eastAsia="zh-CN"/>
        </w:rPr>
      </w:pPr>
    </w:p>
    <w:p w14:paraId="767FEBA4">
      <w:pPr>
        <w:pStyle w:val="3"/>
        <w:numPr>
          <w:ilvl w:val="1"/>
          <w:numId w:val="3"/>
        </w:numPr>
        <w:pBdr>
          <w:top w:val="none" w:color="auto" w:sz="0" w:space="3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clear" w:pos="576"/>
        </w:tabs>
        <w:spacing w:before="120" w:after="60" w:line="240" w:lineRule="auto"/>
        <w:ind w:left="567" w:leftChars="0" w:hanging="567" w:firstLineChars="0"/>
        <w:outlineLvl w:val="1"/>
        <w:rPr>
          <w:rFonts w:hint="eastAsia" w:ascii="Times New Roman" w:hAnsi="Times New Roman" w:eastAsia="宋体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 w:val="0"/>
          <w:bCs w:val="0"/>
          <w:kern w:val="0"/>
          <w:sz w:val="32"/>
          <w:szCs w:val="32"/>
          <w:lang w:val="en-US" w:eastAsia="zh-CN"/>
        </w:rPr>
        <w:t>PDSCH requirements with inter cell interference</w:t>
      </w:r>
    </w:p>
    <w:p w14:paraId="2F04D314">
      <w:pPr>
        <w:rPr>
          <w:b/>
          <w:i/>
          <w:iCs/>
          <w:sz w:val="20"/>
          <w:szCs w:val="20"/>
          <w:u w:val="single"/>
          <w:lang w:val="en-US" w:eastAsia="ko-KR"/>
        </w:rPr>
      </w:pPr>
      <w:bookmarkStart w:id="6" w:name="_Hlk70326378"/>
      <w:r>
        <w:rPr>
          <w:b/>
          <w:i/>
          <w:iCs/>
          <w:sz w:val="20"/>
          <w:szCs w:val="20"/>
          <w:u w:val="single"/>
          <w:lang w:val="en-US" w:eastAsia="ko-KR"/>
        </w:rPr>
        <w:t>Number of interference cells</w:t>
      </w:r>
    </w:p>
    <w:p w14:paraId="7D5F0508">
      <w:pPr>
        <w:pStyle w:val="74"/>
        <w:numPr>
          <w:ilvl w:val="0"/>
          <w:numId w:val="6"/>
        </w:numPr>
        <w:ind w:firstLineChars="0"/>
        <w:rPr>
          <w:i/>
          <w:iCs/>
          <w:sz w:val="20"/>
          <w:szCs w:val="20"/>
          <w:lang w:val="en-US" w:eastAsia="zh-CN"/>
        </w:rPr>
      </w:pPr>
      <w:r>
        <w:rPr>
          <w:i/>
          <w:iCs/>
          <w:sz w:val="20"/>
          <w:szCs w:val="20"/>
          <w:lang w:val="en-US" w:eastAsia="zh-CN"/>
        </w:rPr>
        <w:t>Background:</w:t>
      </w:r>
    </w:p>
    <w:p w14:paraId="17FA76BF">
      <w:pPr>
        <w:pStyle w:val="74"/>
        <w:numPr>
          <w:ilvl w:val="1"/>
          <w:numId w:val="6"/>
        </w:numPr>
        <w:ind w:firstLineChars="0"/>
        <w:rPr>
          <w:i/>
          <w:iCs/>
          <w:sz w:val="20"/>
          <w:szCs w:val="20"/>
          <w:lang w:val="en-US" w:eastAsia="zh-CN"/>
        </w:rPr>
      </w:pPr>
      <w:r>
        <w:rPr>
          <w:i/>
          <w:iCs/>
          <w:sz w:val="20"/>
          <w:szCs w:val="20"/>
          <w:lang w:val="en-US" w:eastAsia="zh-CN"/>
        </w:rPr>
        <w:t>We have an existing agreement from RAN#112bis, to reuse the same interference profiles (i.e., cover HomNet and Hetnet scenarios) and same power levels (i.e., INR values) defined for Rel-17 2/4Rx, with TBD for applicability rules to reduce UE efforts [R4-2416555]</w:t>
      </w:r>
    </w:p>
    <w:p w14:paraId="07688A4F">
      <w:pPr>
        <w:pStyle w:val="74"/>
        <w:numPr>
          <w:ilvl w:val="0"/>
          <w:numId w:val="6"/>
        </w:numPr>
        <w:spacing w:after="120"/>
        <w:ind w:firstLineChars="0"/>
        <w:rPr>
          <w:rFonts w:eastAsia="Malgun Gothic"/>
          <w:bCs/>
          <w:i/>
          <w:iCs/>
          <w:sz w:val="20"/>
          <w:szCs w:val="20"/>
          <w:lang w:val="en-US" w:eastAsia="ko-KR"/>
        </w:rPr>
      </w:pPr>
      <w:r>
        <w:rPr>
          <w:rFonts w:eastAsia="Malgun Gothic"/>
          <w:bCs/>
          <w:i/>
          <w:iCs/>
          <w:sz w:val="20"/>
          <w:szCs w:val="20"/>
          <w:lang w:val="en-US" w:eastAsia="ko-KR"/>
        </w:rPr>
        <w:t>Proposals:</w:t>
      </w:r>
    </w:p>
    <w:p w14:paraId="6B74C60E">
      <w:pPr>
        <w:pStyle w:val="74"/>
        <w:numPr>
          <w:ilvl w:val="1"/>
          <w:numId w:val="7"/>
        </w:numPr>
        <w:ind w:firstLineChars="0"/>
        <w:rPr>
          <w:rFonts w:eastAsia="Malgun Gothic"/>
          <w:bCs/>
          <w:i/>
          <w:iCs/>
          <w:sz w:val="20"/>
          <w:szCs w:val="20"/>
          <w:lang w:val="en-US" w:eastAsia="ko-KR"/>
        </w:rPr>
      </w:pPr>
      <w:r>
        <w:rPr>
          <w:rFonts w:eastAsia="Malgun Gothic"/>
          <w:bCs/>
          <w:i/>
          <w:iCs/>
          <w:sz w:val="20"/>
          <w:szCs w:val="20"/>
          <w:lang w:val="en-US" w:eastAsia="ko-KR"/>
        </w:rPr>
        <w:t>Option 1: Both 1 interference cell and 2 interference cells</w:t>
      </w:r>
    </w:p>
    <w:p w14:paraId="6711184C">
      <w:pPr>
        <w:tabs>
          <w:tab w:val="left" w:pos="1134"/>
        </w:tabs>
        <w:spacing w:before="60"/>
        <w:jc w:val="both"/>
        <w:rPr>
          <w:rFonts w:hint="eastAsia" w:eastAsia="等线"/>
          <w:sz w:val="20"/>
          <w:szCs w:val="20"/>
          <w:lang w:val="en-US" w:eastAsia="zh-CN"/>
        </w:rPr>
      </w:pPr>
      <w:r>
        <w:rPr>
          <w:rFonts w:hint="eastAsia" w:eastAsia="等线"/>
          <w:sz w:val="20"/>
          <w:szCs w:val="20"/>
          <w:lang w:val="en-US" w:eastAsia="zh-CN"/>
        </w:rPr>
        <w:t>RAN4 has agreed to introduce both HomNet and HetNet scenario in RAN4#112bis meeting, both scenarios are common and typical in real network. But some companies concern about test effort, we think the appliability rules from Rel-17 can be reused, that if UE supporting both duplex mode TDD and FDD, then only HomNet FDD test and HetNet TDD test will be applied.</w:t>
      </w:r>
    </w:p>
    <w:p w14:paraId="599434CF">
      <w:pPr>
        <w:tabs>
          <w:tab w:val="left" w:pos="1134"/>
        </w:tabs>
        <w:spacing w:before="156" w:beforeLines="50"/>
        <w:jc w:val="both"/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>P</w:t>
      </w:r>
      <w:r>
        <w:rPr>
          <w:rFonts w:eastAsia="等线"/>
          <w:b/>
          <w:bCs/>
          <w:i/>
          <w:iCs/>
          <w:sz w:val="20"/>
          <w:szCs w:val="20"/>
        </w:rPr>
        <w:t xml:space="preserve">roposal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4</w:t>
      </w:r>
      <w:r>
        <w:rPr>
          <w:rFonts w:eastAsia="等线"/>
          <w:b/>
          <w:bCs/>
          <w:i/>
          <w:iCs/>
          <w:sz w:val="20"/>
          <w:szCs w:val="20"/>
        </w:rPr>
        <w:t xml:space="preserve">: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Confirm the previous agreement that cover both HomNet and HetNet scenarios.</w:t>
      </w:r>
    </w:p>
    <w:p w14:paraId="4C4D1FD0">
      <w:pPr>
        <w:tabs>
          <w:tab w:val="left" w:pos="1134"/>
        </w:tabs>
        <w:spacing w:before="156" w:beforeLines="50"/>
        <w:jc w:val="both"/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Proposal 5: Introduce the applicability rule that if UE supporting both duplex mode TDD and FDD with 8Rx, then only HomNet FDD test and HetNet TDD test will be applied.</w:t>
      </w:r>
    </w:p>
    <w:p w14:paraId="6BAAF8DE">
      <w:pPr>
        <w:tabs>
          <w:tab w:val="left" w:pos="1134"/>
        </w:tabs>
        <w:spacing w:before="156" w:beforeLines="50"/>
        <w:jc w:val="both"/>
        <w:rPr>
          <w:rFonts w:hint="eastAsia" w:eastAsia="等线"/>
          <w:b/>
          <w:bCs/>
          <w:i/>
          <w:iCs/>
          <w:sz w:val="20"/>
          <w:szCs w:val="20"/>
          <w:lang w:val="en-GB" w:eastAsia="en-GB"/>
        </w:rPr>
      </w:pPr>
    </w:p>
    <w:p w14:paraId="5E4406E1">
      <w:pPr>
        <w:pStyle w:val="3"/>
        <w:numPr>
          <w:ilvl w:val="1"/>
          <w:numId w:val="3"/>
        </w:numPr>
        <w:pBdr>
          <w:top w:val="none" w:color="auto" w:sz="0" w:space="3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clear" w:pos="576"/>
        </w:tabs>
        <w:spacing w:before="120" w:after="60" w:line="240" w:lineRule="auto"/>
        <w:ind w:left="567" w:leftChars="0" w:hanging="567" w:firstLineChars="0"/>
        <w:outlineLvl w:val="1"/>
        <w:rPr>
          <w:rFonts w:ascii="Times New Roman" w:hAnsi="Times New Roman"/>
          <w:b w:val="0"/>
          <w:bCs w:val="0"/>
          <w:kern w:val="0"/>
          <w:sz w:val="32"/>
          <w:szCs w:val="32"/>
        </w:rPr>
      </w:pPr>
      <w:r>
        <w:rPr>
          <w:rFonts w:hint="eastAsia" w:ascii="Times New Roman" w:hAnsi="Times New Roman" w:eastAsia="宋体"/>
          <w:b w:val="0"/>
          <w:bCs w:val="0"/>
          <w:kern w:val="0"/>
          <w:sz w:val="32"/>
          <w:szCs w:val="32"/>
          <w:lang w:val="en-US" w:eastAsia="zh-CN"/>
        </w:rPr>
        <w:t>PDSCH demodulation requirements with MMSE-IRC receiver for intra-cell inter-user interference scenario</w:t>
      </w:r>
    </w:p>
    <w:p w14:paraId="67372EFF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60"/>
        <w:textAlignment w:val="baseline"/>
        <w:rPr>
          <w:rFonts w:hint="default" w:eastAsia="等线"/>
          <w:b/>
          <w:i/>
          <w:iCs/>
          <w:sz w:val="20"/>
          <w:szCs w:val="20"/>
          <w:u w:val="single"/>
          <w:lang w:val="en-US" w:eastAsia="zh-CN"/>
        </w:rPr>
      </w:pPr>
      <w:r>
        <w:rPr>
          <w:rFonts w:hint="eastAsia" w:eastAsia="等线"/>
          <w:b/>
          <w:i/>
          <w:iCs/>
          <w:sz w:val="20"/>
          <w:szCs w:val="20"/>
          <w:u w:val="single"/>
          <w:lang w:val="en-US" w:eastAsia="zh-CN"/>
        </w:rPr>
        <w:t>Rank and MCS</w:t>
      </w:r>
    </w:p>
    <w:p w14:paraId="7E1A7C5E">
      <w:pPr>
        <w:spacing w:after="120"/>
        <w:rPr>
          <w:i/>
          <w:iCs/>
          <w:sz w:val="20"/>
          <w:szCs w:val="20"/>
          <w:lang w:val="en-US" w:eastAsia="zh-CN"/>
        </w:rPr>
      </w:pPr>
      <w:r>
        <w:rPr>
          <w:i/>
          <w:iCs/>
          <w:sz w:val="20"/>
          <w:szCs w:val="20"/>
          <w:lang w:val="en-US" w:eastAsia="zh-CN"/>
        </w:rPr>
        <w:t>Agreement:</w:t>
      </w:r>
    </w:p>
    <w:p w14:paraId="1D07443D">
      <w:pPr>
        <w:pStyle w:val="74"/>
        <w:numPr>
          <w:ilvl w:val="0"/>
          <w:numId w:val="8"/>
        </w:numPr>
        <w:spacing w:after="120"/>
        <w:ind w:firstLineChars="0"/>
        <w:rPr>
          <w:i/>
          <w:iCs/>
          <w:sz w:val="20"/>
          <w:szCs w:val="20"/>
          <w:lang w:val="en-US" w:eastAsia="zh-CN"/>
        </w:rPr>
      </w:pPr>
      <w:r>
        <w:rPr>
          <w:i/>
          <w:iCs/>
          <w:sz w:val="20"/>
          <w:szCs w:val="20"/>
          <w:lang w:val="en-US" w:eastAsia="zh-CN"/>
        </w:rPr>
        <w:t>Define requirements for:</w:t>
      </w:r>
    </w:p>
    <w:p w14:paraId="3AD18F88">
      <w:pPr>
        <w:pStyle w:val="74"/>
        <w:numPr>
          <w:ilvl w:val="1"/>
          <w:numId w:val="8"/>
        </w:numPr>
        <w:spacing w:after="120"/>
        <w:ind w:firstLineChars="0"/>
        <w:rPr>
          <w:i/>
          <w:iCs/>
          <w:sz w:val="20"/>
          <w:szCs w:val="20"/>
          <w:lang w:val="en-US" w:eastAsia="zh-CN"/>
        </w:rPr>
      </w:pPr>
      <w:r>
        <w:rPr>
          <w:i/>
          <w:iCs/>
          <w:sz w:val="20"/>
          <w:szCs w:val="20"/>
          <w:lang w:val="en-US" w:eastAsia="zh-CN"/>
        </w:rPr>
        <w:t>Rank 2+2</w:t>
      </w:r>
    </w:p>
    <w:p w14:paraId="6484A6B3">
      <w:pPr>
        <w:pStyle w:val="74"/>
        <w:numPr>
          <w:ilvl w:val="1"/>
          <w:numId w:val="8"/>
        </w:numPr>
        <w:spacing w:after="120"/>
        <w:ind w:firstLineChars="0"/>
        <w:rPr>
          <w:i/>
          <w:iCs/>
          <w:sz w:val="20"/>
          <w:szCs w:val="20"/>
          <w:lang w:val="en-US" w:eastAsia="zh-CN"/>
        </w:rPr>
      </w:pPr>
      <w:r>
        <w:rPr>
          <w:i/>
          <w:iCs/>
          <w:sz w:val="20"/>
          <w:szCs w:val="20"/>
          <w:lang w:val="en-US" w:eastAsia="zh-CN"/>
        </w:rPr>
        <w:t>FFS: MCS17/19</w:t>
      </w:r>
    </w:p>
    <w:p w14:paraId="7C5D092A">
      <w:pPr>
        <w:pStyle w:val="74"/>
        <w:numPr>
          <w:ilvl w:val="0"/>
          <w:numId w:val="8"/>
        </w:numPr>
        <w:spacing w:after="120"/>
        <w:ind w:firstLineChars="0"/>
        <w:rPr>
          <w:i/>
          <w:iCs/>
          <w:sz w:val="20"/>
          <w:szCs w:val="20"/>
          <w:lang w:val="en-US" w:eastAsia="zh-CN"/>
        </w:rPr>
      </w:pPr>
      <w:r>
        <w:rPr>
          <w:i/>
          <w:iCs/>
          <w:sz w:val="20"/>
          <w:szCs w:val="20"/>
          <w:lang w:val="en-US" w:eastAsia="zh-CN"/>
        </w:rPr>
        <w:t>TBD: Rank 4+4: MCS13</w:t>
      </w:r>
    </w:p>
    <w:p w14:paraId="2A425F7E">
      <w:pPr>
        <w:tabs>
          <w:tab w:val="left" w:pos="1134"/>
        </w:tabs>
        <w:spacing w:before="60"/>
        <w:jc w:val="both"/>
        <w:rPr>
          <w:rFonts w:hint="eastAsia" w:eastAsia="等线"/>
          <w:sz w:val="20"/>
          <w:szCs w:val="20"/>
          <w:lang w:val="en-US" w:eastAsia="zh-CN"/>
        </w:rPr>
      </w:pPr>
      <w:r>
        <w:rPr>
          <w:rFonts w:hint="eastAsia" w:eastAsia="等线"/>
          <w:sz w:val="20"/>
          <w:szCs w:val="20"/>
          <w:lang w:val="en-US" w:eastAsia="zh-CN"/>
        </w:rPr>
        <w:t>Based on our simulation results, for Rank 2+2, infinite gain can be observed for both MCS 17 and 19. Here, we prefer MCS 19 since larger span can be observed between baseline receiver and simplified receiver.</w:t>
      </w:r>
    </w:p>
    <w:p w14:paraId="5E36A167">
      <w:pPr>
        <w:tabs>
          <w:tab w:val="left" w:pos="1134"/>
        </w:tabs>
        <w:spacing w:before="60"/>
        <w:jc w:val="both"/>
        <w:rPr>
          <w:rFonts w:hint="default" w:eastAsia="等线"/>
          <w:sz w:val="20"/>
          <w:szCs w:val="20"/>
          <w:lang w:val="en-US" w:eastAsia="zh-CN"/>
        </w:rPr>
      </w:pPr>
      <w:r>
        <w:rPr>
          <w:rFonts w:hint="eastAsia" w:eastAsia="等线"/>
          <w:sz w:val="20"/>
          <w:szCs w:val="20"/>
          <w:lang w:val="en-US" w:eastAsia="zh-CN"/>
        </w:rPr>
        <w:t>For Rank 4+4, only baseline receiver can achieve 70% THUP. Therefore, we propose to define requirements for Rank 4+4 for baseline receiver.</w:t>
      </w:r>
    </w:p>
    <w:p w14:paraId="2F8EAEF0">
      <w:pPr>
        <w:tabs>
          <w:tab w:val="left" w:pos="1134"/>
        </w:tabs>
        <w:spacing w:before="156" w:beforeLines="50"/>
        <w:jc w:val="both"/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Proposal 6: Define requirements for Rank 2+2 MCS 19 for both baseline receiver and simplified receiver.</w:t>
      </w:r>
    </w:p>
    <w:p w14:paraId="3C87815E">
      <w:pPr>
        <w:tabs>
          <w:tab w:val="left" w:pos="1134"/>
        </w:tabs>
        <w:spacing w:before="156" w:beforeLines="50"/>
        <w:jc w:val="both"/>
        <w:rPr>
          <w:rFonts w:hint="default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Proposal 7: Define requirements for Rank 4+4 MCS 13 for baseline receiver.</w:t>
      </w:r>
    </w:p>
    <w:p w14:paraId="75B0E0E4">
      <w:pPr>
        <w:tabs>
          <w:tab w:val="left" w:pos="1134"/>
        </w:tabs>
        <w:spacing w:before="60"/>
        <w:jc w:val="both"/>
        <w:rPr>
          <w:rFonts w:hint="eastAsia"/>
          <w:sz w:val="20"/>
          <w:szCs w:val="20"/>
          <w:lang w:val="en-US" w:eastAsia="zh-CN"/>
        </w:rPr>
      </w:pPr>
    </w:p>
    <w:p w14:paraId="44BA25EA">
      <w:pPr>
        <w:pStyle w:val="3"/>
        <w:numPr>
          <w:ilvl w:val="1"/>
          <w:numId w:val="3"/>
        </w:numPr>
        <w:pBdr>
          <w:top w:val="none" w:color="auto" w:sz="0" w:space="3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tabs>
          <w:tab w:val="clear" w:pos="576"/>
        </w:tabs>
        <w:spacing w:before="120" w:after="60" w:line="240" w:lineRule="auto"/>
        <w:ind w:left="567" w:leftChars="0" w:hanging="567" w:firstLineChars="0"/>
        <w:outlineLvl w:val="1"/>
        <w:rPr>
          <w:rFonts w:hint="eastAsia" w:ascii="Times New Roman" w:hAnsi="Times New Roman" w:eastAsia="宋体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/>
          <w:b w:val="0"/>
          <w:bCs w:val="0"/>
          <w:kern w:val="0"/>
          <w:sz w:val="32"/>
          <w:szCs w:val="32"/>
          <w:lang w:val="en-US" w:eastAsia="zh-CN"/>
        </w:rPr>
        <w:t>Applicability rule and release independent</w:t>
      </w:r>
    </w:p>
    <w:p w14:paraId="640D813D">
      <w:pPr>
        <w:rPr>
          <w:b/>
          <w:i/>
          <w:iCs/>
          <w:sz w:val="20"/>
          <w:szCs w:val="20"/>
          <w:u w:val="single"/>
          <w:lang w:val="en-US" w:eastAsia="ko-KR"/>
        </w:rPr>
      </w:pPr>
      <w:r>
        <w:rPr>
          <w:b/>
          <w:i/>
          <w:iCs/>
          <w:sz w:val="20"/>
          <w:szCs w:val="20"/>
          <w:u w:val="single"/>
          <w:lang w:val="en-US" w:eastAsia="ko-KR"/>
        </w:rPr>
        <w:t>Test applicability to skip 2/4Rx requirements</w:t>
      </w:r>
    </w:p>
    <w:p w14:paraId="7523FAEA">
      <w:pPr>
        <w:pStyle w:val="74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i/>
          <w:iCs/>
          <w:sz w:val="20"/>
          <w:szCs w:val="20"/>
          <w:lang w:val="en-US" w:eastAsia="zh-CN"/>
        </w:rPr>
      </w:pPr>
      <w:r>
        <w:rPr>
          <w:rFonts w:eastAsia="宋体"/>
          <w:i/>
          <w:iCs/>
          <w:sz w:val="20"/>
          <w:szCs w:val="20"/>
          <w:lang w:val="en-US" w:eastAsia="zh-CN"/>
        </w:rPr>
        <w:t>Proposals</w:t>
      </w:r>
    </w:p>
    <w:p w14:paraId="005DE995">
      <w:pPr>
        <w:pStyle w:val="74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i/>
          <w:iCs/>
          <w:sz w:val="20"/>
          <w:szCs w:val="20"/>
          <w:lang w:val="en-US" w:eastAsia="zh-CN"/>
        </w:rPr>
      </w:pPr>
      <w:r>
        <w:rPr>
          <w:rFonts w:eastAsia="宋体"/>
          <w:i/>
          <w:iCs/>
          <w:sz w:val="20"/>
          <w:szCs w:val="20"/>
          <w:lang w:val="en-US" w:eastAsia="zh-CN"/>
        </w:rPr>
        <w:t xml:space="preserve">Option 1: </w:t>
      </w:r>
      <w:r>
        <w:rPr>
          <w:rFonts w:eastAsia="宋体"/>
          <w:i/>
          <w:iCs/>
          <w:sz w:val="20"/>
          <w:szCs w:val="20"/>
          <w:lang w:val="en-US" w:eastAsia="zh-CN"/>
        </w:rPr>
        <w:br w:type="textWrapping"/>
      </w:r>
      <w:r>
        <w:rPr>
          <w:rFonts w:eastAsiaTheme="minorEastAsia"/>
          <w:bCs/>
          <w:i/>
          <w:iCs/>
          <w:sz w:val="20"/>
          <w:szCs w:val="20"/>
          <w:lang w:val="en-US" w:eastAsia="zh-TW"/>
        </w:rPr>
        <w:t>Defining applicability rules to skip 2/4Rx requirements if 8Rx tests are passed.</w:t>
      </w:r>
    </w:p>
    <w:p w14:paraId="2DD6B54C">
      <w:pPr>
        <w:pStyle w:val="74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i/>
          <w:iCs/>
          <w:sz w:val="20"/>
          <w:szCs w:val="20"/>
          <w:lang w:val="en-US" w:eastAsia="zh-CN"/>
        </w:rPr>
      </w:pPr>
      <w:r>
        <w:rPr>
          <w:rFonts w:eastAsia="宋体"/>
          <w:i/>
          <w:iCs/>
          <w:sz w:val="20"/>
          <w:szCs w:val="20"/>
          <w:lang w:val="en-US" w:eastAsia="zh-CN"/>
        </w:rPr>
        <w:t xml:space="preserve">Option 1a: </w:t>
      </w:r>
      <w:r>
        <w:rPr>
          <w:rFonts w:eastAsia="宋体"/>
          <w:i/>
          <w:iCs/>
          <w:sz w:val="20"/>
          <w:szCs w:val="20"/>
          <w:lang w:val="en-US" w:eastAsia="zh-CN"/>
        </w:rPr>
        <w:br w:type="textWrapping"/>
      </w:r>
      <w:r>
        <w:rPr>
          <w:rFonts w:eastAsia="宋体"/>
          <w:i/>
          <w:iCs/>
          <w:sz w:val="20"/>
          <w:szCs w:val="20"/>
          <w:lang w:val="en-US" w:eastAsia="zh-CN"/>
        </w:rPr>
        <w:t>For 8Rx inter-cell interference scenario and intra-cell inter-user interference scenario, for both demodulation performance tests and CQI reporting tests, prefer to define a test applicability rule to skip 2/4Rx requirements if 8Rx tests are passed, no matter same test configurations as 2RX/4RX are defined or not.</w:t>
      </w:r>
    </w:p>
    <w:p w14:paraId="20F5F8FB">
      <w:pPr>
        <w:pStyle w:val="74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i/>
          <w:iCs/>
          <w:sz w:val="20"/>
          <w:szCs w:val="20"/>
          <w:lang w:val="en-US" w:eastAsia="zh-CN"/>
        </w:rPr>
      </w:pPr>
      <w:r>
        <w:rPr>
          <w:rFonts w:eastAsia="宋体"/>
          <w:i/>
          <w:iCs/>
          <w:sz w:val="20"/>
          <w:szCs w:val="20"/>
          <w:lang w:val="en-US" w:eastAsia="zh-CN"/>
        </w:rPr>
        <w:t xml:space="preserve">Option 1b: </w:t>
      </w:r>
      <w:r>
        <w:rPr>
          <w:rFonts w:eastAsia="宋体"/>
          <w:i/>
          <w:iCs/>
          <w:sz w:val="20"/>
          <w:szCs w:val="20"/>
          <w:lang w:val="en-US" w:eastAsia="zh-CN"/>
        </w:rPr>
        <w:br w:type="textWrapping"/>
      </w:r>
      <w:r>
        <w:rPr>
          <w:rFonts w:eastAsia="宋体"/>
          <w:i/>
          <w:iCs/>
          <w:sz w:val="20"/>
          <w:szCs w:val="20"/>
          <w:lang w:val="en-US" w:eastAsia="zh-CN"/>
        </w:rPr>
        <w:t>For UEs supporting both 8Rx and 2/4Rx, the 2/4Rx tests under inter cell interference and under intra cell inter user interference can be skipped if the corresponding 8Rx requirements are passed.</w:t>
      </w:r>
    </w:p>
    <w:p w14:paraId="09C88092">
      <w:pPr>
        <w:tabs>
          <w:tab w:val="left" w:pos="1134"/>
        </w:tabs>
        <w:spacing w:before="60"/>
        <w:jc w:val="both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Option 1b follows the legacy applicability rule, which ensure UE pass the related test case with minimum test effort. </w:t>
      </w:r>
    </w:p>
    <w:p w14:paraId="4A0C3013">
      <w:pPr>
        <w:tabs>
          <w:tab w:val="left" w:pos="1134"/>
        </w:tabs>
        <w:spacing w:before="156" w:beforeLines="50"/>
        <w:jc w:val="both"/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Proposal 8: For UEs supporting both 8Rx and 2/4Rx, the 2/4Rx tests under inter cell interference and under intra cell inter user interference can be skipped if the corresponding 8Rx requirements are passed.</w:t>
      </w:r>
    </w:p>
    <w:p w14:paraId="2F15D089">
      <w:pP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</w:pPr>
    </w:p>
    <w:p w14:paraId="0604ECBF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60"/>
        <w:textAlignment w:val="baseline"/>
        <w:rPr>
          <w:rFonts w:hint="eastAsia" w:eastAsia="等线"/>
          <w:b/>
          <w:i/>
          <w:iCs/>
          <w:sz w:val="20"/>
          <w:szCs w:val="20"/>
          <w:u w:val="single"/>
          <w:lang w:val="en-US" w:eastAsia="zh-CN"/>
        </w:rPr>
      </w:pPr>
      <w:r>
        <w:rPr>
          <w:rFonts w:eastAsia="等线"/>
          <w:b/>
          <w:i/>
          <w:iCs/>
          <w:sz w:val="20"/>
          <w:szCs w:val="20"/>
          <w:u w:val="single"/>
          <w:lang w:val="en-US" w:eastAsia="ko-KR"/>
        </w:rPr>
        <w:t>Release independen</w:t>
      </w:r>
      <w:r>
        <w:rPr>
          <w:rFonts w:hint="eastAsia" w:eastAsia="等线"/>
          <w:b/>
          <w:i/>
          <w:iCs/>
          <w:sz w:val="20"/>
          <w:szCs w:val="20"/>
          <w:u w:val="single"/>
          <w:lang w:val="en-US" w:eastAsia="zh-CN"/>
        </w:rPr>
        <w:t>t</w:t>
      </w:r>
    </w:p>
    <w:p w14:paraId="28573680">
      <w:pPr>
        <w:pStyle w:val="74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i/>
          <w:iCs/>
          <w:sz w:val="20"/>
          <w:szCs w:val="20"/>
          <w:lang w:val="en-US" w:eastAsia="zh-CN"/>
        </w:rPr>
      </w:pPr>
      <w:r>
        <w:rPr>
          <w:rFonts w:eastAsia="宋体"/>
          <w:i/>
          <w:iCs/>
          <w:sz w:val="20"/>
          <w:szCs w:val="20"/>
          <w:lang w:val="en-US" w:eastAsia="zh-CN"/>
        </w:rPr>
        <w:t>Proposals</w:t>
      </w:r>
    </w:p>
    <w:p w14:paraId="34D29F39">
      <w:pPr>
        <w:pStyle w:val="74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i/>
          <w:iCs/>
          <w:sz w:val="20"/>
          <w:szCs w:val="20"/>
          <w:lang w:val="en-US" w:eastAsia="zh-CN"/>
        </w:rPr>
      </w:pPr>
      <w:r>
        <w:rPr>
          <w:i/>
          <w:iCs/>
          <w:sz w:val="20"/>
          <w:szCs w:val="20"/>
          <w:lang w:val="en-US"/>
        </w:rPr>
        <w:t xml:space="preserve">Option 1: </w:t>
      </w:r>
      <w:r>
        <w:rPr>
          <w:i/>
          <w:iCs/>
          <w:sz w:val="20"/>
          <w:szCs w:val="20"/>
          <w:lang w:val="en-US"/>
        </w:rPr>
        <w:br w:type="textWrapping"/>
      </w:r>
      <w:r>
        <w:rPr>
          <w:rFonts w:eastAsia="宋体"/>
          <w:i/>
          <w:iCs/>
          <w:sz w:val="20"/>
          <w:szCs w:val="20"/>
          <w:lang w:val="en-US" w:eastAsia="zh-CN"/>
        </w:rPr>
        <w:t>Discuss release independence requirements at a later stage in the WI.</w:t>
      </w:r>
    </w:p>
    <w:p w14:paraId="0F331591">
      <w:pPr>
        <w:pStyle w:val="74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i/>
          <w:iCs/>
          <w:sz w:val="20"/>
          <w:szCs w:val="20"/>
          <w:lang w:val="en-US" w:eastAsia="zh-CN"/>
        </w:rPr>
      </w:pPr>
      <w:r>
        <w:rPr>
          <w:rFonts w:eastAsia="宋体"/>
          <w:i/>
          <w:iCs/>
          <w:sz w:val="20"/>
          <w:szCs w:val="20"/>
          <w:lang w:val="en-US" w:eastAsia="zh-CN"/>
        </w:rPr>
        <w:t xml:space="preserve">Option 1a: </w:t>
      </w:r>
      <w:r>
        <w:rPr>
          <w:rFonts w:eastAsia="宋体"/>
          <w:i/>
          <w:iCs/>
          <w:sz w:val="20"/>
          <w:szCs w:val="20"/>
          <w:lang w:val="en-US" w:eastAsia="zh-CN"/>
        </w:rPr>
        <w:br w:type="textWrapping"/>
      </w:r>
      <w:r>
        <w:rPr>
          <w:rFonts w:eastAsiaTheme="minorEastAsia"/>
          <w:bCs/>
          <w:i/>
          <w:iCs/>
          <w:sz w:val="20"/>
          <w:szCs w:val="20"/>
          <w:lang w:val="en-US" w:eastAsia="zh-TW"/>
        </w:rPr>
        <w:t>RAN4 start discussing the issue of release independent when RAN4 agree on baseline assumptions, test parameters and test metrics, i.e., after RAN4#113.</w:t>
      </w:r>
    </w:p>
    <w:p w14:paraId="35CF1692">
      <w:pPr>
        <w:pStyle w:val="74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i/>
          <w:iCs/>
          <w:sz w:val="20"/>
          <w:szCs w:val="20"/>
          <w:lang w:val="en-US" w:eastAsia="zh-CN"/>
        </w:rPr>
      </w:pPr>
      <w:r>
        <w:rPr>
          <w:rFonts w:eastAsia="宋体"/>
          <w:i/>
          <w:iCs/>
          <w:sz w:val="20"/>
          <w:szCs w:val="20"/>
          <w:lang w:val="en-US" w:eastAsia="zh-CN"/>
        </w:rPr>
        <w:t xml:space="preserve">Option 2: </w:t>
      </w:r>
      <w:r>
        <w:rPr>
          <w:rFonts w:eastAsia="宋体"/>
          <w:i/>
          <w:iCs/>
          <w:sz w:val="20"/>
          <w:szCs w:val="20"/>
          <w:lang w:val="en-US" w:eastAsia="zh-CN"/>
        </w:rPr>
        <w:br w:type="textWrapping"/>
      </w:r>
      <w:r>
        <w:rPr>
          <w:i/>
          <w:iCs/>
          <w:sz w:val="20"/>
          <w:szCs w:val="20"/>
          <w:lang w:val="en-US" w:eastAsia="zh-CN"/>
        </w:rPr>
        <w:t>The new requirements for 8Rx should be release independent from Rel-18.</w:t>
      </w:r>
    </w:p>
    <w:p w14:paraId="64A1B009">
      <w:pPr>
        <w:pStyle w:val="74"/>
        <w:numPr>
          <w:ilvl w:val="2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i/>
          <w:iCs/>
          <w:sz w:val="20"/>
          <w:szCs w:val="20"/>
          <w:lang w:val="en-US" w:eastAsia="zh-CN"/>
        </w:rPr>
      </w:pPr>
      <w:r>
        <w:rPr>
          <w:i/>
          <w:iCs/>
          <w:sz w:val="20"/>
          <w:szCs w:val="20"/>
          <w:lang w:val="en-US" w:eastAsia="zh-CN"/>
        </w:rPr>
        <w:t xml:space="preserve">Option 2a: </w:t>
      </w:r>
      <w:r>
        <w:rPr>
          <w:i/>
          <w:iCs/>
          <w:sz w:val="20"/>
          <w:szCs w:val="20"/>
          <w:lang w:val="en-US" w:eastAsia="zh-CN"/>
        </w:rPr>
        <w:br w:type="textWrapping"/>
      </w:r>
      <w:r>
        <w:rPr>
          <w:rFonts w:eastAsia="宋体"/>
          <w:i/>
          <w:iCs/>
          <w:sz w:val="20"/>
          <w:szCs w:val="20"/>
          <w:lang w:val="en-US" w:eastAsia="zh-CN"/>
        </w:rPr>
        <w:t>The requirement should be released independent from Rel-18 if no new signalling or UE capability introduced.</w:t>
      </w:r>
    </w:p>
    <w:p w14:paraId="29EB30AC">
      <w:pPr>
        <w:pStyle w:val="74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i/>
          <w:iCs/>
          <w:sz w:val="20"/>
          <w:szCs w:val="20"/>
          <w:lang w:val="en-US" w:eastAsia="zh-CN"/>
        </w:rPr>
      </w:pPr>
      <w:r>
        <w:rPr>
          <w:rFonts w:eastAsia="宋体"/>
          <w:i/>
          <w:iCs/>
          <w:sz w:val="20"/>
          <w:szCs w:val="20"/>
          <w:lang w:val="en-US" w:eastAsia="zh-CN"/>
        </w:rPr>
        <w:t xml:space="preserve">Option 3: </w:t>
      </w:r>
      <w:r>
        <w:rPr>
          <w:rFonts w:eastAsia="宋体"/>
          <w:i/>
          <w:iCs/>
          <w:sz w:val="20"/>
          <w:szCs w:val="20"/>
          <w:lang w:val="en-US" w:eastAsia="zh-CN"/>
        </w:rPr>
        <w:br w:type="textWrapping"/>
      </w:r>
      <w:r>
        <w:rPr>
          <w:i/>
          <w:iCs/>
          <w:sz w:val="20"/>
          <w:szCs w:val="20"/>
          <w:lang w:val="en-US"/>
        </w:rPr>
        <w:t>The performance requirements for 8Rx MMSE-IRC should be release independent from Rel-17, but should be mandatory for Rel-18 and optional for Rel-17.</w:t>
      </w:r>
    </w:p>
    <w:p w14:paraId="77139940">
      <w:pPr>
        <w:tabs>
          <w:tab w:val="left" w:pos="1134"/>
        </w:tabs>
        <w:spacing w:before="60"/>
        <w:jc w:val="both"/>
        <w:rPr>
          <w:rFonts w:hint="default" w:eastAsia="等线"/>
          <w:sz w:val="20"/>
          <w:szCs w:val="20"/>
          <w:lang w:val="en-US" w:eastAsia="zh-CN"/>
        </w:rPr>
      </w:pPr>
      <w:r>
        <w:rPr>
          <w:rFonts w:hint="eastAsia" w:eastAsia="等线"/>
          <w:sz w:val="20"/>
          <w:szCs w:val="20"/>
          <w:lang w:val="en-US" w:eastAsia="zh-CN"/>
        </w:rPr>
        <w:t>If no new signalling or UE capability introduced, the requirement should at least be released independent from Rel-18. We are open to further discuss whether it can be release independent from Rel-17.</w:t>
      </w:r>
    </w:p>
    <w:p w14:paraId="1B68F113">
      <w:pPr>
        <w:tabs>
          <w:tab w:val="left" w:pos="1134"/>
        </w:tabs>
        <w:spacing w:before="156" w:beforeLines="50"/>
        <w:jc w:val="both"/>
        <w:rPr>
          <w:rFonts w:hint="default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 xml:space="preserve">Proposal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9</w:t>
      </w:r>
      <w:r>
        <w:rPr>
          <w:rFonts w:hint="eastAsia" w:eastAsia="等线"/>
          <w:b/>
          <w:bCs/>
          <w:i/>
          <w:iCs/>
          <w:sz w:val="20"/>
          <w:szCs w:val="20"/>
        </w:rPr>
        <w:t xml:space="preserve">: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T</w:t>
      </w:r>
      <w:r>
        <w:rPr>
          <w:rFonts w:hint="eastAsia" w:eastAsia="等线"/>
          <w:b/>
          <w:bCs/>
          <w:i/>
          <w:iCs/>
          <w:sz w:val="20"/>
          <w:szCs w:val="20"/>
        </w:rPr>
        <w:t xml:space="preserve">he requirement should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 xml:space="preserve">at least </w:t>
      </w:r>
      <w:r>
        <w:rPr>
          <w:rFonts w:hint="eastAsia" w:eastAsia="等线"/>
          <w:b/>
          <w:bCs/>
          <w:i/>
          <w:iCs/>
          <w:sz w:val="20"/>
          <w:szCs w:val="20"/>
        </w:rPr>
        <w:t>be released independent from Rel-18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 xml:space="preserve"> if no new signalling or UE capability introduced.</w:t>
      </w:r>
    </w:p>
    <w:p w14:paraId="7B037FCF">
      <w:pPr>
        <w:tabs>
          <w:tab w:val="left" w:pos="1134"/>
          <w:tab w:val="left" w:pos="6000"/>
        </w:tabs>
        <w:spacing w:before="156" w:beforeLines="50"/>
        <w:jc w:val="both"/>
        <w:rPr>
          <w:rFonts w:hint="default" w:eastAsia="等线"/>
          <w:b/>
          <w:bCs/>
          <w:i/>
          <w:iCs/>
          <w:sz w:val="20"/>
          <w:szCs w:val="20"/>
          <w:lang w:val="en-US" w:eastAsia="zh-CN"/>
        </w:rPr>
      </w:pPr>
    </w:p>
    <w:bookmarkEnd w:id="6"/>
    <w:p w14:paraId="4228841E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Conclusion</w:t>
      </w:r>
    </w:p>
    <w:p w14:paraId="1FD642F8">
      <w:pPr>
        <w:spacing w:before="60"/>
        <w:rPr>
          <w:sz w:val="20"/>
          <w:szCs w:val="20"/>
        </w:rPr>
      </w:pPr>
      <w:r>
        <w:rPr>
          <w:sz w:val="20"/>
          <w:szCs w:val="20"/>
        </w:rPr>
        <w:t xml:space="preserve">In this contribution, we </w:t>
      </w:r>
      <w:r>
        <w:rPr>
          <w:rFonts w:hint="eastAsia" w:eastAsia="宋体"/>
          <w:sz w:val="20"/>
          <w:szCs w:val="20"/>
          <w:lang w:val="en-US" w:eastAsia="zh-CN"/>
        </w:rPr>
        <w:t>provides some test parameter and test rule configuration for UE 8Rx interference suppressing requirement</w:t>
      </w:r>
      <w:r>
        <w:rPr>
          <w:sz w:val="20"/>
          <w:szCs w:val="20"/>
        </w:rPr>
        <w:t>. The proposals are:</w:t>
      </w:r>
      <w:bookmarkEnd w:id="4"/>
      <w:bookmarkEnd w:id="5"/>
    </w:p>
    <w:p w14:paraId="3D0EA5D0">
      <w:pPr>
        <w:keepNext w:val="0"/>
        <w:keepLines w:val="0"/>
        <w:pageBreakBefore w:val="0"/>
        <w:widowControl/>
        <w:tabs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/>
        <w:jc w:val="both"/>
        <w:textAlignment w:val="auto"/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Proposal 1: Update the existing Rel-18 UE capabilities definition as below in R18 FR1 RF enhancement WI maintenance:</w:t>
      </w:r>
    </w:p>
    <w:p w14:paraId="6D5A3236">
      <w:pPr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378"/>
          <w:tab w:val="left" w:pos="441"/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/>
        <w:ind w:left="420" w:leftChars="0" w:hanging="420" w:firstLineChars="0"/>
        <w:jc w:val="both"/>
        <w:textAlignment w:val="auto"/>
        <w:rPr>
          <w:rFonts w:hint="default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Baseline 8Rx Receiver: 8Rx receivers for MIMO transmissions with support of up to 8 layers with joint 8Rx MIMO detector.</w:t>
      </w:r>
    </w:p>
    <w:p w14:paraId="5AC1BCA8">
      <w:pPr>
        <w:keepNext w:val="0"/>
        <w:keepLines w:val="0"/>
        <w:pageBreakBefore w:val="0"/>
        <w:widowControl/>
        <w:numPr>
          <w:ilvl w:val="0"/>
          <w:numId w:val="5"/>
        </w:numPr>
        <w:tabs>
          <w:tab w:val="left" w:pos="378"/>
          <w:tab w:val="left" w:pos="441"/>
          <w:tab w:val="left" w:pos="11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"/>
        <w:ind w:left="420" w:leftChars="0" w:hanging="420" w:firstLineChars="0"/>
        <w:jc w:val="both"/>
        <w:textAlignment w:val="auto"/>
        <w:rPr>
          <w:rFonts w:hint="default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Simplified 8Rx Receiver: 8Rx receivers for MIMO transmissions with support of only up to 4 layers with two joint 4Rx MIMO detectors.</w:t>
      </w:r>
    </w:p>
    <w:p w14:paraId="5A5704B5">
      <w:pPr>
        <w:numPr>
          <w:ilvl w:val="0"/>
          <w:numId w:val="0"/>
        </w:numPr>
        <w:tabs>
          <w:tab w:val="left" w:pos="1134"/>
        </w:tabs>
        <w:spacing w:before="156" w:beforeLines="50"/>
        <w:jc w:val="both"/>
        <w:rPr>
          <w:rFonts w:hint="default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Proposal 2: For ICI scenario, at least define two sets of requirements for the case of 4T8R Rank 4.</w:t>
      </w:r>
    </w:p>
    <w:p w14:paraId="6D16B819">
      <w:pPr>
        <w:numPr>
          <w:ilvl w:val="0"/>
          <w:numId w:val="0"/>
        </w:numPr>
        <w:tabs>
          <w:tab w:val="left" w:pos="1134"/>
        </w:tabs>
        <w:spacing w:before="156" w:beforeLines="50"/>
        <w:jc w:val="both"/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Proposal 3: For IUI scenario, define two sets of requirements for the case of Rank 2+2.</w:t>
      </w:r>
    </w:p>
    <w:p w14:paraId="4A0699B2">
      <w:pPr>
        <w:tabs>
          <w:tab w:val="left" w:pos="1134"/>
        </w:tabs>
        <w:spacing w:before="156" w:beforeLines="50"/>
        <w:jc w:val="both"/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>P</w:t>
      </w:r>
      <w:r>
        <w:rPr>
          <w:rFonts w:eastAsia="等线"/>
          <w:b/>
          <w:bCs/>
          <w:i/>
          <w:iCs/>
          <w:sz w:val="20"/>
          <w:szCs w:val="20"/>
        </w:rPr>
        <w:t xml:space="preserve">roposal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4</w:t>
      </w:r>
      <w:r>
        <w:rPr>
          <w:rFonts w:eastAsia="等线"/>
          <w:b/>
          <w:bCs/>
          <w:i/>
          <w:iCs/>
          <w:sz w:val="20"/>
          <w:szCs w:val="20"/>
        </w:rPr>
        <w:t xml:space="preserve">: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Confirm the previous agreement that cover both HomNet and HetNet scenarios.</w:t>
      </w:r>
    </w:p>
    <w:p w14:paraId="24F1D62D">
      <w:pPr>
        <w:tabs>
          <w:tab w:val="left" w:pos="1134"/>
        </w:tabs>
        <w:spacing w:before="156" w:beforeLines="50"/>
        <w:jc w:val="both"/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Proposal 5: Introduce the applicability rule that if UE supporting both duplex mode TDD and FDD with 8Rx, then only HomNet FDD test and HetNet TDD test will be applied.</w:t>
      </w:r>
    </w:p>
    <w:p w14:paraId="412AB185">
      <w:pPr>
        <w:tabs>
          <w:tab w:val="left" w:pos="1134"/>
        </w:tabs>
        <w:spacing w:before="156" w:beforeLines="50"/>
        <w:jc w:val="both"/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Proposal 6: Define requirements for Rank 2+2 MCS 19 for both baseline receiver and simplified receiver.</w:t>
      </w:r>
    </w:p>
    <w:p w14:paraId="0CC732E9">
      <w:pPr>
        <w:tabs>
          <w:tab w:val="left" w:pos="1134"/>
        </w:tabs>
        <w:spacing w:before="156" w:beforeLines="50"/>
        <w:jc w:val="both"/>
        <w:rPr>
          <w:rFonts w:hint="default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Proposal 7: Define requirements for Rank 4+4 MCS 13 for baseline receiver.</w:t>
      </w:r>
    </w:p>
    <w:p w14:paraId="6516F892">
      <w:pPr>
        <w:tabs>
          <w:tab w:val="left" w:pos="1134"/>
        </w:tabs>
        <w:spacing w:before="156" w:beforeLines="50"/>
        <w:jc w:val="both"/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Proposal 8: For UEs supporting both 8Rx and 2/4Rx, the 2/4Rx tests under inter cell interference and under intra cell inter user interference can be skipped if the corresponding 8Rx requirements are passed.</w:t>
      </w:r>
    </w:p>
    <w:p w14:paraId="0581AE16">
      <w:pPr>
        <w:tabs>
          <w:tab w:val="left" w:pos="1134"/>
        </w:tabs>
        <w:spacing w:before="156" w:beforeLines="50"/>
        <w:jc w:val="both"/>
        <w:rPr>
          <w:rFonts w:hint="default" w:eastAsia="等线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 w:eastAsia="等线"/>
          <w:b/>
          <w:bCs/>
          <w:i/>
          <w:iCs/>
          <w:sz w:val="20"/>
          <w:szCs w:val="20"/>
        </w:rPr>
        <w:t xml:space="preserve">Proposal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9</w:t>
      </w:r>
      <w:r>
        <w:rPr>
          <w:rFonts w:hint="eastAsia" w:eastAsia="等线"/>
          <w:b/>
          <w:bCs/>
          <w:i/>
          <w:iCs/>
          <w:sz w:val="20"/>
          <w:szCs w:val="20"/>
        </w:rPr>
        <w:t xml:space="preserve">: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>T</w:t>
      </w:r>
      <w:r>
        <w:rPr>
          <w:rFonts w:hint="eastAsia" w:eastAsia="等线"/>
          <w:b/>
          <w:bCs/>
          <w:i/>
          <w:iCs/>
          <w:sz w:val="20"/>
          <w:szCs w:val="20"/>
        </w:rPr>
        <w:t xml:space="preserve">he requirement should 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 xml:space="preserve">at least </w:t>
      </w:r>
      <w:r>
        <w:rPr>
          <w:rFonts w:hint="eastAsia" w:eastAsia="等线"/>
          <w:b/>
          <w:bCs/>
          <w:i/>
          <w:iCs/>
          <w:sz w:val="20"/>
          <w:szCs w:val="20"/>
        </w:rPr>
        <w:t>be released independent from Rel-18</w:t>
      </w:r>
      <w:r>
        <w:rPr>
          <w:rFonts w:hint="eastAsia" w:eastAsia="等线"/>
          <w:b/>
          <w:bCs/>
          <w:i/>
          <w:iCs/>
          <w:sz w:val="20"/>
          <w:szCs w:val="20"/>
          <w:lang w:val="en-US" w:eastAsia="zh-CN"/>
        </w:rPr>
        <w:t xml:space="preserve"> if no new signalling or UE capability introduced.</w:t>
      </w:r>
    </w:p>
    <w:p w14:paraId="69EA1873">
      <w:pPr>
        <w:spacing w:before="60"/>
        <w:rPr>
          <w:sz w:val="20"/>
          <w:szCs w:val="20"/>
        </w:rPr>
      </w:pPr>
    </w:p>
    <w:p w14:paraId="2748C8FB">
      <w:pPr>
        <w:pStyle w:val="2"/>
        <w:numPr>
          <w:ilvl w:val="0"/>
          <w:numId w:val="3"/>
        </w:numPr>
        <w:pBdr>
          <w:top w:val="single" w:color="auto" w:sz="12" w:space="3"/>
        </w:pBdr>
        <w:spacing w:before="120" w:after="60" w:line="240" w:lineRule="auto"/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</w:pPr>
      <w:r>
        <w:rPr>
          <w:rFonts w:ascii="Times New Roman" w:hAnsi="Times New Roman"/>
          <w:b w:val="0"/>
          <w:bCs w:val="0"/>
          <w:kern w:val="0"/>
          <w:sz w:val="36"/>
          <w:szCs w:val="36"/>
          <w:lang w:val="en-GB"/>
        </w:rPr>
        <w:t>Reference</w:t>
      </w:r>
    </w:p>
    <w:p w14:paraId="28273C3A">
      <w:pPr>
        <w:rPr>
          <w:rFonts w:eastAsiaTheme="minorEastAsia"/>
          <w:sz w:val="20"/>
          <w:szCs w:val="20"/>
          <w:lang w:val="en-GB"/>
        </w:rPr>
      </w:pPr>
      <w:r>
        <w:rPr>
          <w:rFonts w:hint="eastAsia" w:eastAsiaTheme="minorEastAsia"/>
          <w:sz w:val="20"/>
          <w:szCs w:val="20"/>
          <w:lang w:val="en-GB"/>
        </w:rPr>
        <w:t>[</w:t>
      </w:r>
      <w:r>
        <w:rPr>
          <w:rFonts w:eastAsiaTheme="minorEastAsia"/>
          <w:sz w:val="20"/>
          <w:szCs w:val="20"/>
          <w:lang w:val="en-GB"/>
        </w:rPr>
        <w:t>1] R</w:t>
      </w:r>
      <w:r>
        <w:rPr>
          <w:rFonts w:hint="eastAsia" w:eastAsiaTheme="minorEastAsia"/>
          <w:sz w:val="20"/>
          <w:szCs w:val="20"/>
          <w:lang w:val="en-GB"/>
        </w:rPr>
        <w:t>4-241</w:t>
      </w:r>
      <w:r>
        <w:rPr>
          <w:rFonts w:hint="eastAsia" w:eastAsiaTheme="minorEastAsia"/>
          <w:sz w:val="20"/>
          <w:szCs w:val="20"/>
          <w:lang w:val="en-US" w:eastAsia="zh-CN"/>
        </w:rPr>
        <w:t>9784</w:t>
      </w:r>
      <w:r>
        <w:rPr>
          <w:rFonts w:eastAsiaTheme="minorEastAsia"/>
          <w:sz w:val="20"/>
          <w:szCs w:val="20"/>
          <w:lang w:val="en-GB"/>
        </w:rPr>
        <w:t xml:space="preserve">, </w:t>
      </w:r>
      <w:r>
        <w:rPr>
          <w:rFonts w:hint="eastAsia" w:eastAsiaTheme="minorEastAsia"/>
          <w:sz w:val="20"/>
          <w:szCs w:val="20"/>
          <w:lang w:val="en-GB"/>
        </w:rPr>
        <w:t>WF for [113][322] NR_demod_Ph5_Part2_UE</w:t>
      </w:r>
      <w:r>
        <w:rPr>
          <w:rFonts w:hint="eastAsia" w:eastAsiaTheme="minorEastAsia"/>
          <w:sz w:val="20"/>
          <w:szCs w:val="20"/>
          <w:lang w:val="en-US" w:eastAsia="zh-CN"/>
        </w:rPr>
        <w:t>, Moderator (Nokia)</w:t>
      </w:r>
    </w:p>
    <w:p w14:paraId="3821C1D2">
      <w:pPr>
        <w:rPr>
          <w:rFonts w:eastAsiaTheme="minorEastAsia"/>
          <w:sz w:val="20"/>
          <w:szCs w:val="20"/>
          <w:lang w:val="en-GB"/>
        </w:rPr>
      </w:pPr>
    </w:p>
    <w:sectPr>
      <w:pgSz w:w="11900" w:h="16840"/>
      <w:pgMar w:top="1134" w:right="1134" w:bottom="1417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Yu Mincho Light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27F4AA8"/>
    <w:multiLevelType w:val="singleLevel"/>
    <w:tmpl w:val="027F4AA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12B133D5"/>
    <w:multiLevelType w:val="multilevel"/>
    <w:tmpl w:val="12B133D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6CA03A4"/>
    <w:multiLevelType w:val="multilevel"/>
    <w:tmpl w:val="16CA03A4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DE341BE"/>
    <w:multiLevelType w:val="multilevel"/>
    <w:tmpl w:val="1DE341B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63E5508"/>
    <w:multiLevelType w:val="multilevel"/>
    <w:tmpl w:val="263E550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  <w:sz w:val="32"/>
        <w:szCs w:val="21"/>
        <w:lang w:val="en-US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lang w:val="en-US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6">
    <w:nsid w:val="6CDA2FB2"/>
    <w:multiLevelType w:val="multilevel"/>
    <w:tmpl w:val="6CDA2FB2"/>
    <w:lvl w:ilvl="0" w:tentative="0">
      <w:start w:val="1"/>
      <w:numFmt w:val="decimal"/>
      <w:pStyle w:val="53"/>
      <w:lvlText w:val="[%1]"/>
      <w:lvlJc w:val="left"/>
      <w:pPr>
        <w:ind w:left="360" w:hanging="360"/>
      </w:pPr>
      <w:rPr>
        <w:rFonts w:hint="default" w:ascii="Yu Mincho Light" w:hAnsi="Yu Mincho Light" w:cs="Yu Mincho Light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7">
    <w:nsid w:val="72C71936"/>
    <w:multiLevelType w:val="multilevel"/>
    <w:tmpl w:val="72C71936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 w:tentative="0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bordersDoNotSurroundHeader w:val="0"/>
  <w:bordersDoNotSurroundFooter w:val="0"/>
  <w:documentProtection w:enforcement="0"/>
  <w:defaultTabStop w:val="420"/>
  <w:drawingGridVerticalSpacing w:val="20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FCF"/>
    <w:rsid w:val="0000704F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1E70"/>
    <w:rsid w:val="00021FAA"/>
    <w:rsid w:val="00022E95"/>
    <w:rsid w:val="00022ECE"/>
    <w:rsid w:val="00023769"/>
    <w:rsid w:val="0002380B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B95"/>
    <w:rsid w:val="000272EA"/>
    <w:rsid w:val="0002730A"/>
    <w:rsid w:val="00030084"/>
    <w:rsid w:val="00030C32"/>
    <w:rsid w:val="00030EF0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405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972"/>
    <w:rsid w:val="00054A63"/>
    <w:rsid w:val="00054D73"/>
    <w:rsid w:val="000550B3"/>
    <w:rsid w:val="000552E2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5E0F"/>
    <w:rsid w:val="00086392"/>
    <w:rsid w:val="00086AB0"/>
    <w:rsid w:val="00087358"/>
    <w:rsid w:val="00087508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B73"/>
    <w:rsid w:val="000A2CA8"/>
    <w:rsid w:val="000A358C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1050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1003DA"/>
    <w:rsid w:val="00100DC7"/>
    <w:rsid w:val="00101852"/>
    <w:rsid w:val="00101941"/>
    <w:rsid w:val="00101971"/>
    <w:rsid w:val="00102476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7C21"/>
    <w:rsid w:val="00167CAE"/>
    <w:rsid w:val="0017014A"/>
    <w:rsid w:val="0017043F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B8"/>
    <w:rsid w:val="001C1B05"/>
    <w:rsid w:val="001C1C19"/>
    <w:rsid w:val="001C1D78"/>
    <w:rsid w:val="001C209C"/>
    <w:rsid w:val="001C22DE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612"/>
    <w:rsid w:val="00267AE3"/>
    <w:rsid w:val="00267F29"/>
    <w:rsid w:val="00270E9A"/>
    <w:rsid w:val="002717B6"/>
    <w:rsid w:val="00271DD9"/>
    <w:rsid w:val="00271FF5"/>
    <w:rsid w:val="00273377"/>
    <w:rsid w:val="00273DAD"/>
    <w:rsid w:val="00274B8F"/>
    <w:rsid w:val="00274D01"/>
    <w:rsid w:val="00275168"/>
    <w:rsid w:val="00275EB0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85C"/>
    <w:rsid w:val="00281BE1"/>
    <w:rsid w:val="00282E26"/>
    <w:rsid w:val="00283BFB"/>
    <w:rsid w:val="002848A6"/>
    <w:rsid w:val="00284DDF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5160"/>
    <w:rsid w:val="00295CDB"/>
    <w:rsid w:val="0029787F"/>
    <w:rsid w:val="0029795D"/>
    <w:rsid w:val="00297AF7"/>
    <w:rsid w:val="00297CDF"/>
    <w:rsid w:val="00297DB7"/>
    <w:rsid w:val="002A066C"/>
    <w:rsid w:val="002A0E53"/>
    <w:rsid w:val="002A1286"/>
    <w:rsid w:val="002A12DD"/>
    <w:rsid w:val="002A1B5F"/>
    <w:rsid w:val="002A2121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A9E"/>
    <w:rsid w:val="002C1FA0"/>
    <w:rsid w:val="002C2284"/>
    <w:rsid w:val="002C22AB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402C"/>
    <w:rsid w:val="002D46AD"/>
    <w:rsid w:val="002D4B3D"/>
    <w:rsid w:val="002D54FA"/>
    <w:rsid w:val="002D5775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A7"/>
    <w:rsid w:val="003205BC"/>
    <w:rsid w:val="003206DA"/>
    <w:rsid w:val="0032144C"/>
    <w:rsid w:val="003216B6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836"/>
    <w:rsid w:val="00326AE6"/>
    <w:rsid w:val="00326C60"/>
    <w:rsid w:val="00326F0C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42A6"/>
    <w:rsid w:val="00354A2C"/>
    <w:rsid w:val="00354E89"/>
    <w:rsid w:val="003562F7"/>
    <w:rsid w:val="00356B7A"/>
    <w:rsid w:val="00356DB2"/>
    <w:rsid w:val="00356F29"/>
    <w:rsid w:val="0035795A"/>
    <w:rsid w:val="00357F06"/>
    <w:rsid w:val="00357F53"/>
    <w:rsid w:val="003606C0"/>
    <w:rsid w:val="00360F89"/>
    <w:rsid w:val="00361113"/>
    <w:rsid w:val="0036124C"/>
    <w:rsid w:val="0036297D"/>
    <w:rsid w:val="00362A3E"/>
    <w:rsid w:val="00362B77"/>
    <w:rsid w:val="00362DB4"/>
    <w:rsid w:val="00362DDC"/>
    <w:rsid w:val="00363182"/>
    <w:rsid w:val="00363CCE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39E"/>
    <w:rsid w:val="0038177C"/>
    <w:rsid w:val="00381BC7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1786"/>
    <w:rsid w:val="003C1F63"/>
    <w:rsid w:val="003C20F7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D0A96"/>
    <w:rsid w:val="003D0B97"/>
    <w:rsid w:val="003D1BC5"/>
    <w:rsid w:val="003D1E2D"/>
    <w:rsid w:val="003D3478"/>
    <w:rsid w:val="003D367B"/>
    <w:rsid w:val="003D3918"/>
    <w:rsid w:val="003D3D92"/>
    <w:rsid w:val="003D484A"/>
    <w:rsid w:val="003D499A"/>
    <w:rsid w:val="003D4B56"/>
    <w:rsid w:val="003D5962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615C"/>
    <w:rsid w:val="003E62ED"/>
    <w:rsid w:val="003E6DF0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CB6"/>
    <w:rsid w:val="00432484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CB6"/>
    <w:rsid w:val="00456EB1"/>
    <w:rsid w:val="00456F16"/>
    <w:rsid w:val="00456FC3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49F0"/>
    <w:rsid w:val="00464D54"/>
    <w:rsid w:val="004651FC"/>
    <w:rsid w:val="004652C0"/>
    <w:rsid w:val="004654D9"/>
    <w:rsid w:val="004658A6"/>
    <w:rsid w:val="00467A78"/>
    <w:rsid w:val="00467DCF"/>
    <w:rsid w:val="00470A07"/>
    <w:rsid w:val="0047115A"/>
    <w:rsid w:val="00471172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982"/>
    <w:rsid w:val="00474A69"/>
    <w:rsid w:val="00474DC0"/>
    <w:rsid w:val="00474E58"/>
    <w:rsid w:val="00474EFD"/>
    <w:rsid w:val="0047523D"/>
    <w:rsid w:val="0047543A"/>
    <w:rsid w:val="004766E6"/>
    <w:rsid w:val="00476FC0"/>
    <w:rsid w:val="00477499"/>
    <w:rsid w:val="00477A0B"/>
    <w:rsid w:val="00477BA2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1195"/>
    <w:rsid w:val="004D15B4"/>
    <w:rsid w:val="004D1732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F4E"/>
    <w:rsid w:val="004F737B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21E3"/>
    <w:rsid w:val="00552692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410B"/>
    <w:rsid w:val="0056417E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D3F"/>
    <w:rsid w:val="005726DB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524B"/>
    <w:rsid w:val="00585656"/>
    <w:rsid w:val="005856E6"/>
    <w:rsid w:val="00585A4E"/>
    <w:rsid w:val="0058674D"/>
    <w:rsid w:val="00586A5C"/>
    <w:rsid w:val="0058724C"/>
    <w:rsid w:val="0058728A"/>
    <w:rsid w:val="00587AFD"/>
    <w:rsid w:val="00590539"/>
    <w:rsid w:val="0059067F"/>
    <w:rsid w:val="00590829"/>
    <w:rsid w:val="00590C1D"/>
    <w:rsid w:val="00590E8C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D95"/>
    <w:rsid w:val="005950E5"/>
    <w:rsid w:val="005952DF"/>
    <w:rsid w:val="005957CF"/>
    <w:rsid w:val="00595E6C"/>
    <w:rsid w:val="00595E7C"/>
    <w:rsid w:val="00596544"/>
    <w:rsid w:val="00596D80"/>
    <w:rsid w:val="00596DE7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E52"/>
    <w:rsid w:val="005B2203"/>
    <w:rsid w:val="005B2F47"/>
    <w:rsid w:val="005B49B4"/>
    <w:rsid w:val="005B536B"/>
    <w:rsid w:val="005B5792"/>
    <w:rsid w:val="005B589F"/>
    <w:rsid w:val="005B5974"/>
    <w:rsid w:val="005B59C9"/>
    <w:rsid w:val="005B5B2A"/>
    <w:rsid w:val="005B5DF0"/>
    <w:rsid w:val="005B5EA0"/>
    <w:rsid w:val="005B625C"/>
    <w:rsid w:val="005B64CD"/>
    <w:rsid w:val="005B6977"/>
    <w:rsid w:val="005B6EF2"/>
    <w:rsid w:val="005B7275"/>
    <w:rsid w:val="005B7391"/>
    <w:rsid w:val="005B791A"/>
    <w:rsid w:val="005B79DD"/>
    <w:rsid w:val="005C0F66"/>
    <w:rsid w:val="005C0FDA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DF1"/>
    <w:rsid w:val="005C7E54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20F"/>
    <w:rsid w:val="005E068A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DA4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C75"/>
    <w:rsid w:val="00606FC0"/>
    <w:rsid w:val="006102AB"/>
    <w:rsid w:val="006104D4"/>
    <w:rsid w:val="00610936"/>
    <w:rsid w:val="0061140B"/>
    <w:rsid w:val="00611657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900"/>
    <w:rsid w:val="00615BF5"/>
    <w:rsid w:val="006169D9"/>
    <w:rsid w:val="00616E1F"/>
    <w:rsid w:val="00617800"/>
    <w:rsid w:val="00617925"/>
    <w:rsid w:val="00617B04"/>
    <w:rsid w:val="00617EAA"/>
    <w:rsid w:val="00620803"/>
    <w:rsid w:val="006212F2"/>
    <w:rsid w:val="006212F5"/>
    <w:rsid w:val="0062177D"/>
    <w:rsid w:val="00621AF3"/>
    <w:rsid w:val="00621BC8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40624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811"/>
    <w:rsid w:val="00671A72"/>
    <w:rsid w:val="0067224A"/>
    <w:rsid w:val="006726A6"/>
    <w:rsid w:val="00672A23"/>
    <w:rsid w:val="00672A97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7F"/>
    <w:rsid w:val="0067771E"/>
    <w:rsid w:val="0067773F"/>
    <w:rsid w:val="00677CD4"/>
    <w:rsid w:val="00677D52"/>
    <w:rsid w:val="00680373"/>
    <w:rsid w:val="006803BE"/>
    <w:rsid w:val="006803C8"/>
    <w:rsid w:val="00680A73"/>
    <w:rsid w:val="00681508"/>
    <w:rsid w:val="00681745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F0A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9D5"/>
    <w:rsid w:val="0071609B"/>
    <w:rsid w:val="00717C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68C"/>
    <w:rsid w:val="00724712"/>
    <w:rsid w:val="00726826"/>
    <w:rsid w:val="00726ED8"/>
    <w:rsid w:val="00727246"/>
    <w:rsid w:val="0073057B"/>
    <w:rsid w:val="00730756"/>
    <w:rsid w:val="00730AAD"/>
    <w:rsid w:val="007313BE"/>
    <w:rsid w:val="0073173F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12DF"/>
    <w:rsid w:val="007617C3"/>
    <w:rsid w:val="00761A87"/>
    <w:rsid w:val="00761AF5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E61"/>
    <w:rsid w:val="00775005"/>
    <w:rsid w:val="00775308"/>
    <w:rsid w:val="007753F7"/>
    <w:rsid w:val="00775452"/>
    <w:rsid w:val="007761FD"/>
    <w:rsid w:val="007762AC"/>
    <w:rsid w:val="0077695A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784"/>
    <w:rsid w:val="007943A8"/>
    <w:rsid w:val="00794D77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6C9"/>
    <w:rsid w:val="007B6273"/>
    <w:rsid w:val="007B653E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BFC"/>
    <w:rsid w:val="007D26D9"/>
    <w:rsid w:val="007D2EFA"/>
    <w:rsid w:val="007D3533"/>
    <w:rsid w:val="007D3830"/>
    <w:rsid w:val="007D392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F8E"/>
    <w:rsid w:val="0080516F"/>
    <w:rsid w:val="00805357"/>
    <w:rsid w:val="008054CD"/>
    <w:rsid w:val="00807025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DE6"/>
    <w:rsid w:val="00830DB5"/>
    <w:rsid w:val="00830FD9"/>
    <w:rsid w:val="00831ECF"/>
    <w:rsid w:val="0083266B"/>
    <w:rsid w:val="00832937"/>
    <w:rsid w:val="00833316"/>
    <w:rsid w:val="0083343A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82D"/>
    <w:rsid w:val="00844908"/>
    <w:rsid w:val="00845010"/>
    <w:rsid w:val="00845082"/>
    <w:rsid w:val="00846634"/>
    <w:rsid w:val="008471E0"/>
    <w:rsid w:val="00847276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D62"/>
    <w:rsid w:val="00853154"/>
    <w:rsid w:val="008531B3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B4"/>
    <w:rsid w:val="008719C6"/>
    <w:rsid w:val="00871DE9"/>
    <w:rsid w:val="0087248C"/>
    <w:rsid w:val="0087282A"/>
    <w:rsid w:val="0087370B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21A1"/>
    <w:rsid w:val="00882307"/>
    <w:rsid w:val="00883D9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B19"/>
    <w:rsid w:val="008A71AC"/>
    <w:rsid w:val="008A722F"/>
    <w:rsid w:val="008A7539"/>
    <w:rsid w:val="008A7CD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71C8"/>
    <w:rsid w:val="008B7968"/>
    <w:rsid w:val="008B7C15"/>
    <w:rsid w:val="008B7FF3"/>
    <w:rsid w:val="008C1875"/>
    <w:rsid w:val="008C1C61"/>
    <w:rsid w:val="008C2512"/>
    <w:rsid w:val="008C2599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242"/>
    <w:rsid w:val="008E22BA"/>
    <w:rsid w:val="008E295A"/>
    <w:rsid w:val="008E2CCA"/>
    <w:rsid w:val="008E2D68"/>
    <w:rsid w:val="008E2FD8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D67"/>
    <w:rsid w:val="00903BCD"/>
    <w:rsid w:val="00904A36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776"/>
    <w:rsid w:val="00913263"/>
    <w:rsid w:val="0091339B"/>
    <w:rsid w:val="009133A2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1238"/>
    <w:rsid w:val="0092157C"/>
    <w:rsid w:val="009215B0"/>
    <w:rsid w:val="009215FF"/>
    <w:rsid w:val="0092176B"/>
    <w:rsid w:val="009217A7"/>
    <w:rsid w:val="009217C8"/>
    <w:rsid w:val="009218EF"/>
    <w:rsid w:val="0092315C"/>
    <w:rsid w:val="00923369"/>
    <w:rsid w:val="00923907"/>
    <w:rsid w:val="00923E26"/>
    <w:rsid w:val="00924084"/>
    <w:rsid w:val="009243DF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F77"/>
    <w:rsid w:val="0096459E"/>
    <w:rsid w:val="00964834"/>
    <w:rsid w:val="00964878"/>
    <w:rsid w:val="00964E1A"/>
    <w:rsid w:val="00965247"/>
    <w:rsid w:val="009652EE"/>
    <w:rsid w:val="009655CA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32E9"/>
    <w:rsid w:val="009A3719"/>
    <w:rsid w:val="009A3A7E"/>
    <w:rsid w:val="009A548B"/>
    <w:rsid w:val="009A5529"/>
    <w:rsid w:val="009A5550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1BDF"/>
    <w:rsid w:val="009C2A94"/>
    <w:rsid w:val="009C2E02"/>
    <w:rsid w:val="009C30C4"/>
    <w:rsid w:val="009C34E2"/>
    <w:rsid w:val="009C36E7"/>
    <w:rsid w:val="009C3B7B"/>
    <w:rsid w:val="009C3D38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221"/>
    <w:rsid w:val="009F3965"/>
    <w:rsid w:val="009F3A2D"/>
    <w:rsid w:val="009F404F"/>
    <w:rsid w:val="009F41D9"/>
    <w:rsid w:val="009F4CE5"/>
    <w:rsid w:val="009F579A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D73"/>
    <w:rsid w:val="00A042F0"/>
    <w:rsid w:val="00A0476D"/>
    <w:rsid w:val="00A05355"/>
    <w:rsid w:val="00A053DC"/>
    <w:rsid w:val="00A053E9"/>
    <w:rsid w:val="00A059A7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2DAC"/>
    <w:rsid w:val="00A134EC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31F"/>
    <w:rsid w:val="00A35D0A"/>
    <w:rsid w:val="00A35D5D"/>
    <w:rsid w:val="00A3669A"/>
    <w:rsid w:val="00A36708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E38"/>
    <w:rsid w:val="00A462D4"/>
    <w:rsid w:val="00A4679A"/>
    <w:rsid w:val="00A468F3"/>
    <w:rsid w:val="00A46CA5"/>
    <w:rsid w:val="00A474AD"/>
    <w:rsid w:val="00A4759F"/>
    <w:rsid w:val="00A4769C"/>
    <w:rsid w:val="00A51129"/>
    <w:rsid w:val="00A51ADF"/>
    <w:rsid w:val="00A51F1D"/>
    <w:rsid w:val="00A52326"/>
    <w:rsid w:val="00A5246D"/>
    <w:rsid w:val="00A527E0"/>
    <w:rsid w:val="00A529CA"/>
    <w:rsid w:val="00A52EAB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C"/>
    <w:rsid w:val="00A84B77"/>
    <w:rsid w:val="00A850BD"/>
    <w:rsid w:val="00A853C9"/>
    <w:rsid w:val="00A854CF"/>
    <w:rsid w:val="00A859E8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513A"/>
    <w:rsid w:val="00AE536D"/>
    <w:rsid w:val="00AE563C"/>
    <w:rsid w:val="00AE5DF6"/>
    <w:rsid w:val="00AE5E33"/>
    <w:rsid w:val="00AE7495"/>
    <w:rsid w:val="00AF04D0"/>
    <w:rsid w:val="00AF1315"/>
    <w:rsid w:val="00AF1674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6449"/>
    <w:rsid w:val="00B76FEB"/>
    <w:rsid w:val="00B77A4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A25"/>
    <w:rsid w:val="00BA6D56"/>
    <w:rsid w:val="00BA6FD0"/>
    <w:rsid w:val="00BA76E6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8ED"/>
    <w:rsid w:val="00BC39D1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525"/>
    <w:rsid w:val="00BD15FB"/>
    <w:rsid w:val="00BD1698"/>
    <w:rsid w:val="00BD1BA9"/>
    <w:rsid w:val="00BD1C98"/>
    <w:rsid w:val="00BD1EF0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A7E"/>
    <w:rsid w:val="00C10C66"/>
    <w:rsid w:val="00C11994"/>
    <w:rsid w:val="00C121D6"/>
    <w:rsid w:val="00C133C4"/>
    <w:rsid w:val="00C13A7A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D34"/>
    <w:rsid w:val="00C21E0E"/>
    <w:rsid w:val="00C21FF7"/>
    <w:rsid w:val="00C22213"/>
    <w:rsid w:val="00C22B45"/>
    <w:rsid w:val="00C22F12"/>
    <w:rsid w:val="00C22FF4"/>
    <w:rsid w:val="00C23334"/>
    <w:rsid w:val="00C239F8"/>
    <w:rsid w:val="00C24505"/>
    <w:rsid w:val="00C24FF7"/>
    <w:rsid w:val="00C24FF9"/>
    <w:rsid w:val="00C25216"/>
    <w:rsid w:val="00C26CA0"/>
    <w:rsid w:val="00C275D7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36A4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6173"/>
    <w:rsid w:val="00C56325"/>
    <w:rsid w:val="00C56B2B"/>
    <w:rsid w:val="00C56CD1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E0A"/>
    <w:rsid w:val="00C87218"/>
    <w:rsid w:val="00C874B5"/>
    <w:rsid w:val="00C87664"/>
    <w:rsid w:val="00C90167"/>
    <w:rsid w:val="00C90BBE"/>
    <w:rsid w:val="00C90FD7"/>
    <w:rsid w:val="00C9137B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D96"/>
    <w:rsid w:val="00C95E11"/>
    <w:rsid w:val="00C95F3F"/>
    <w:rsid w:val="00C962D5"/>
    <w:rsid w:val="00C9664E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1F4C"/>
    <w:rsid w:val="00CA2778"/>
    <w:rsid w:val="00CA27D5"/>
    <w:rsid w:val="00CA2C61"/>
    <w:rsid w:val="00CA3488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15A9"/>
    <w:rsid w:val="00CB1D5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8E9"/>
    <w:rsid w:val="00CE3F8A"/>
    <w:rsid w:val="00CE4EF3"/>
    <w:rsid w:val="00CE4F5B"/>
    <w:rsid w:val="00CE5421"/>
    <w:rsid w:val="00CE5703"/>
    <w:rsid w:val="00CE5AFC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3C0D"/>
    <w:rsid w:val="00CF430D"/>
    <w:rsid w:val="00CF47D7"/>
    <w:rsid w:val="00CF54F7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5F7"/>
    <w:rsid w:val="00D56620"/>
    <w:rsid w:val="00D566DF"/>
    <w:rsid w:val="00D56AAA"/>
    <w:rsid w:val="00D5719C"/>
    <w:rsid w:val="00D5728B"/>
    <w:rsid w:val="00D579FA"/>
    <w:rsid w:val="00D60825"/>
    <w:rsid w:val="00D60F37"/>
    <w:rsid w:val="00D6109C"/>
    <w:rsid w:val="00D6110F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F4"/>
    <w:rsid w:val="00D83161"/>
    <w:rsid w:val="00D835C3"/>
    <w:rsid w:val="00D835D9"/>
    <w:rsid w:val="00D83B7D"/>
    <w:rsid w:val="00D84BD2"/>
    <w:rsid w:val="00D8556B"/>
    <w:rsid w:val="00D85ABD"/>
    <w:rsid w:val="00D85CE3"/>
    <w:rsid w:val="00D8748D"/>
    <w:rsid w:val="00D879C5"/>
    <w:rsid w:val="00D87AFC"/>
    <w:rsid w:val="00D87C09"/>
    <w:rsid w:val="00D87D81"/>
    <w:rsid w:val="00D9002A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CF"/>
    <w:rsid w:val="00D969E6"/>
    <w:rsid w:val="00D96F57"/>
    <w:rsid w:val="00D97771"/>
    <w:rsid w:val="00D97FE1"/>
    <w:rsid w:val="00DA001E"/>
    <w:rsid w:val="00DA0C35"/>
    <w:rsid w:val="00DA0E35"/>
    <w:rsid w:val="00DA13E7"/>
    <w:rsid w:val="00DA15F4"/>
    <w:rsid w:val="00DA184B"/>
    <w:rsid w:val="00DA1E7C"/>
    <w:rsid w:val="00DA2222"/>
    <w:rsid w:val="00DA2560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3C5"/>
    <w:rsid w:val="00DB7D85"/>
    <w:rsid w:val="00DB7DEC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3DF"/>
    <w:rsid w:val="00DE06FB"/>
    <w:rsid w:val="00DE07D0"/>
    <w:rsid w:val="00DE0F64"/>
    <w:rsid w:val="00DE1018"/>
    <w:rsid w:val="00DE2304"/>
    <w:rsid w:val="00DE2B08"/>
    <w:rsid w:val="00DE33AC"/>
    <w:rsid w:val="00DE33F7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C72"/>
    <w:rsid w:val="00E0754F"/>
    <w:rsid w:val="00E07907"/>
    <w:rsid w:val="00E07986"/>
    <w:rsid w:val="00E07EC7"/>
    <w:rsid w:val="00E103F0"/>
    <w:rsid w:val="00E10C0B"/>
    <w:rsid w:val="00E10D47"/>
    <w:rsid w:val="00E1154D"/>
    <w:rsid w:val="00E11BB9"/>
    <w:rsid w:val="00E11DFC"/>
    <w:rsid w:val="00E122BF"/>
    <w:rsid w:val="00E12610"/>
    <w:rsid w:val="00E126F0"/>
    <w:rsid w:val="00E1289D"/>
    <w:rsid w:val="00E12AE1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739C"/>
    <w:rsid w:val="00E1752F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9D0"/>
    <w:rsid w:val="00E27CE1"/>
    <w:rsid w:val="00E27E13"/>
    <w:rsid w:val="00E31589"/>
    <w:rsid w:val="00E31D0B"/>
    <w:rsid w:val="00E321B2"/>
    <w:rsid w:val="00E32951"/>
    <w:rsid w:val="00E33BFC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E01"/>
    <w:rsid w:val="00E65058"/>
    <w:rsid w:val="00E65487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3392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D51"/>
    <w:rsid w:val="00E8207D"/>
    <w:rsid w:val="00E82208"/>
    <w:rsid w:val="00E82649"/>
    <w:rsid w:val="00E82805"/>
    <w:rsid w:val="00E8285E"/>
    <w:rsid w:val="00E83750"/>
    <w:rsid w:val="00E84546"/>
    <w:rsid w:val="00E85358"/>
    <w:rsid w:val="00E854A8"/>
    <w:rsid w:val="00E854CC"/>
    <w:rsid w:val="00E85608"/>
    <w:rsid w:val="00E859C6"/>
    <w:rsid w:val="00E85BB3"/>
    <w:rsid w:val="00E86C21"/>
    <w:rsid w:val="00E87547"/>
    <w:rsid w:val="00E87F21"/>
    <w:rsid w:val="00E90821"/>
    <w:rsid w:val="00E91098"/>
    <w:rsid w:val="00E91253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7CA"/>
    <w:rsid w:val="00EA0C79"/>
    <w:rsid w:val="00EA0C89"/>
    <w:rsid w:val="00EA1040"/>
    <w:rsid w:val="00EA1B37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9FE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38F0"/>
    <w:rsid w:val="00F042AF"/>
    <w:rsid w:val="00F04B92"/>
    <w:rsid w:val="00F05270"/>
    <w:rsid w:val="00F0531D"/>
    <w:rsid w:val="00F053D8"/>
    <w:rsid w:val="00F058E0"/>
    <w:rsid w:val="00F05972"/>
    <w:rsid w:val="00F06569"/>
    <w:rsid w:val="00F066B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DCD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F09"/>
    <w:rsid w:val="00F46F72"/>
    <w:rsid w:val="00F46FB9"/>
    <w:rsid w:val="00F4704F"/>
    <w:rsid w:val="00F505E1"/>
    <w:rsid w:val="00F51B63"/>
    <w:rsid w:val="00F531AA"/>
    <w:rsid w:val="00F533A1"/>
    <w:rsid w:val="00F53BA7"/>
    <w:rsid w:val="00F549B4"/>
    <w:rsid w:val="00F54EC5"/>
    <w:rsid w:val="00F56016"/>
    <w:rsid w:val="00F56714"/>
    <w:rsid w:val="00F567E3"/>
    <w:rsid w:val="00F567F5"/>
    <w:rsid w:val="00F56AFA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A06"/>
    <w:rsid w:val="00F62AB7"/>
    <w:rsid w:val="00F63844"/>
    <w:rsid w:val="00F6393C"/>
    <w:rsid w:val="00F63B78"/>
    <w:rsid w:val="00F64446"/>
    <w:rsid w:val="00F64786"/>
    <w:rsid w:val="00F656AB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757"/>
    <w:rsid w:val="00F747ED"/>
    <w:rsid w:val="00F749C0"/>
    <w:rsid w:val="00F74A53"/>
    <w:rsid w:val="00F75525"/>
    <w:rsid w:val="00F7595D"/>
    <w:rsid w:val="00F75EC8"/>
    <w:rsid w:val="00F770DD"/>
    <w:rsid w:val="00F77CE1"/>
    <w:rsid w:val="00F80135"/>
    <w:rsid w:val="00F80A3B"/>
    <w:rsid w:val="00F81060"/>
    <w:rsid w:val="00F81157"/>
    <w:rsid w:val="00F815C2"/>
    <w:rsid w:val="00F818B0"/>
    <w:rsid w:val="00F81DA6"/>
    <w:rsid w:val="00F82D6B"/>
    <w:rsid w:val="00F83733"/>
    <w:rsid w:val="00F83BF3"/>
    <w:rsid w:val="00F83D42"/>
    <w:rsid w:val="00F83FB1"/>
    <w:rsid w:val="00F8432C"/>
    <w:rsid w:val="00F84C9B"/>
    <w:rsid w:val="00F85EE0"/>
    <w:rsid w:val="00F864E9"/>
    <w:rsid w:val="00F87A5F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B92"/>
    <w:rsid w:val="00F96C34"/>
    <w:rsid w:val="00F979EA"/>
    <w:rsid w:val="00F97F30"/>
    <w:rsid w:val="00FA02EA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A44"/>
    <w:rsid w:val="00FF0BC6"/>
    <w:rsid w:val="00FF0F77"/>
    <w:rsid w:val="00FF100F"/>
    <w:rsid w:val="00FF1687"/>
    <w:rsid w:val="00FF18A8"/>
    <w:rsid w:val="00FF207D"/>
    <w:rsid w:val="00FF2160"/>
    <w:rsid w:val="00FF2206"/>
    <w:rsid w:val="00FF2873"/>
    <w:rsid w:val="00FF2D18"/>
    <w:rsid w:val="00FF2D39"/>
    <w:rsid w:val="00FF3F1B"/>
    <w:rsid w:val="00FF40DE"/>
    <w:rsid w:val="00FF41E8"/>
    <w:rsid w:val="00FF45FF"/>
    <w:rsid w:val="00FF468F"/>
    <w:rsid w:val="00FF553B"/>
    <w:rsid w:val="00FF58AA"/>
    <w:rsid w:val="00FF5CD8"/>
    <w:rsid w:val="00FF5CDA"/>
    <w:rsid w:val="00FF5DDE"/>
    <w:rsid w:val="00FF621D"/>
    <w:rsid w:val="00FF6705"/>
    <w:rsid w:val="00FF6F07"/>
    <w:rsid w:val="00FF6F9C"/>
    <w:rsid w:val="00FF74C0"/>
    <w:rsid w:val="00FF785C"/>
    <w:rsid w:val="00FF7973"/>
    <w:rsid w:val="00FF7D81"/>
    <w:rsid w:val="00FF7D91"/>
    <w:rsid w:val="017628E0"/>
    <w:rsid w:val="02163B5E"/>
    <w:rsid w:val="02195828"/>
    <w:rsid w:val="024C3B89"/>
    <w:rsid w:val="03BD00D9"/>
    <w:rsid w:val="03EC63C9"/>
    <w:rsid w:val="046240A5"/>
    <w:rsid w:val="04B95A16"/>
    <w:rsid w:val="04BD7273"/>
    <w:rsid w:val="053F4D86"/>
    <w:rsid w:val="06D303C0"/>
    <w:rsid w:val="072126BE"/>
    <w:rsid w:val="076B39E4"/>
    <w:rsid w:val="07DC2DF1"/>
    <w:rsid w:val="07EA14B7"/>
    <w:rsid w:val="0852407E"/>
    <w:rsid w:val="09183871"/>
    <w:rsid w:val="0A4D7676"/>
    <w:rsid w:val="0B031BD3"/>
    <w:rsid w:val="0B5E1C21"/>
    <w:rsid w:val="0BDC35E1"/>
    <w:rsid w:val="0E373442"/>
    <w:rsid w:val="0E3B3604"/>
    <w:rsid w:val="0E805B23"/>
    <w:rsid w:val="0EC114B0"/>
    <w:rsid w:val="0ED01813"/>
    <w:rsid w:val="110C3BDF"/>
    <w:rsid w:val="113C04E1"/>
    <w:rsid w:val="11EC3624"/>
    <w:rsid w:val="12100603"/>
    <w:rsid w:val="138B6BB2"/>
    <w:rsid w:val="139117AD"/>
    <w:rsid w:val="143164E7"/>
    <w:rsid w:val="143E2D1E"/>
    <w:rsid w:val="14DA3FBC"/>
    <w:rsid w:val="14F2795D"/>
    <w:rsid w:val="160675EB"/>
    <w:rsid w:val="161D3503"/>
    <w:rsid w:val="16383B80"/>
    <w:rsid w:val="1706234B"/>
    <w:rsid w:val="17731A13"/>
    <w:rsid w:val="18761C3F"/>
    <w:rsid w:val="18B91234"/>
    <w:rsid w:val="18C46E74"/>
    <w:rsid w:val="19911272"/>
    <w:rsid w:val="19B41DED"/>
    <w:rsid w:val="1A7651FA"/>
    <w:rsid w:val="1C277B2A"/>
    <w:rsid w:val="1FCA4D36"/>
    <w:rsid w:val="202A27D1"/>
    <w:rsid w:val="206A69BE"/>
    <w:rsid w:val="20EF1296"/>
    <w:rsid w:val="218A2C7D"/>
    <w:rsid w:val="21DE3A39"/>
    <w:rsid w:val="242A63A6"/>
    <w:rsid w:val="24596D0B"/>
    <w:rsid w:val="246A4318"/>
    <w:rsid w:val="24713BE1"/>
    <w:rsid w:val="24C811D2"/>
    <w:rsid w:val="24F611B1"/>
    <w:rsid w:val="26B36FEF"/>
    <w:rsid w:val="26E5752B"/>
    <w:rsid w:val="27513330"/>
    <w:rsid w:val="278F1C29"/>
    <w:rsid w:val="282F4A63"/>
    <w:rsid w:val="283574F8"/>
    <w:rsid w:val="284736CF"/>
    <w:rsid w:val="294319F9"/>
    <w:rsid w:val="29EB4110"/>
    <w:rsid w:val="2A7E3D94"/>
    <w:rsid w:val="2A8E045D"/>
    <w:rsid w:val="2CB0799D"/>
    <w:rsid w:val="2CF775D2"/>
    <w:rsid w:val="2DEE751D"/>
    <w:rsid w:val="2F864066"/>
    <w:rsid w:val="30A071DD"/>
    <w:rsid w:val="31750BD1"/>
    <w:rsid w:val="317E652A"/>
    <w:rsid w:val="32997AB4"/>
    <w:rsid w:val="32F26A43"/>
    <w:rsid w:val="33122AC2"/>
    <w:rsid w:val="33BE40E6"/>
    <w:rsid w:val="341D68C0"/>
    <w:rsid w:val="3B862944"/>
    <w:rsid w:val="3B952CE7"/>
    <w:rsid w:val="3CA34736"/>
    <w:rsid w:val="3DBD6EB2"/>
    <w:rsid w:val="3F792880"/>
    <w:rsid w:val="406B713F"/>
    <w:rsid w:val="40CF2BC3"/>
    <w:rsid w:val="410D6832"/>
    <w:rsid w:val="41134EC3"/>
    <w:rsid w:val="41430049"/>
    <w:rsid w:val="418D344D"/>
    <w:rsid w:val="41D37C5D"/>
    <w:rsid w:val="4202058A"/>
    <w:rsid w:val="4202767A"/>
    <w:rsid w:val="429546AA"/>
    <w:rsid w:val="43131FB5"/>
    <w:rsid w:val="436B3EEB"/>
    <w:rsid w:val="4374126F"/>
    <w:rsid w:val="44B24329"/>
    <w:rsid w:val="45150359"/>
    <w:rsid w:val="45624256"/>
    <w:rsid w:val="46925129"/>
    <w:rsid w:val="46C06704"/>
    <w:rsid w:val="46E32FBC"/>
    <w:rsid w:val="474E78D3"/>
    <w:rsid w:val="4AA160C5"/>
    <w:rsid w:val="4AAF53D6"/>
    <w:rsid w:val="4DA37337"/>
    <w:rsid w:val="4DD642A7"/>
    <w:rsid w:val="4FD81069"/>
    <w:rsid w:val="501228E1"/>
    <w:rsid w:val="501677F0"/>
    <w:rsid w:val="502A4A62"/>
    <w:rsid w:val="504A4FDD"/>
    <w:rsid w:val="50CA72DC"/>
    <w:rsid w:val="511C3E4C"/>
    <w:rsid w:val="53F83FD3"/>
    <w:rsid w:val="54CD03D4"/>
    <w:rsid w:val="55487CEC"/>
    <w:rsid w:val="558B6A30"/>
    <w:rsid w:val="559E607A"/>
    <w:rsid w:val="55E26BB3"/>
    <w:rsid w:val="56855E54"/>
    <w:rsid w:val="580B0311"/>
    <w:rsid w:val="583F05DF"/>
    <w:rsid w:val="584D0A2B"/>
    <w:rsid w:val="58556A81"/>
    <w:rsid w:val="59126391"/>
    <w:rsid w:val="592D7A06"/>
    <w:rsid w:val="59B212B6"/>
    <w:rsid w:val="5B330B7A"/>
    <w:rsid w:val="5C257189"/>
    <w:rsid w:val="5DEB6EA5"/>
    <w:rsid w:val="5E322F82"/>
    <w:rsid w:val="5F123686"/>
    <w:rsid w:val="600D6E62"/>
    <w:rsid w:val="620A7660"/>
    <w:rsid w:val="622B6C71"/>
    <w:rsid w:val="628F7645"/>
    <w:rsid w:val="62C60989"/>
    <w:rsid w:val="659A4242"/>
    <w:rsid w:val="65C91B43"/>
    <w:rsid w:val="65CA1897"/>
    <w:rsid w:val="667944E3"/>
    <w:rsid w:val="67254FAA"/>
    <w:rsid w:val="67D31308"/>
    <w:rsid w:val="68B34721"/>
    <w:rsid w:val="69F6022C"/>
    <w:rsid w:val="6A2853AA"/>
    <w:rsid w:val="6A675B29"/>
    <w:rsid w:val="6BF53BAD"/>
    <w:rsid w:val="6C5C2CD7"/>
    <w:rsid w:val="6C7B38DA"/>
    <w:rsid w:val="6F71461A"/>
    <w:rsid w:val="6F997566"/>
    <w:rsid w:val="6FFE2CF5"/>
    <w:rsid w:val="711D4E21"/>
    <w:rsid w:val="71882E8E"/>
    <w:rsid w:val="71C95ABE"/>
    <w:rsid w:val="73642131"/>
    <w:rsid w:val="73FD462A"/>
    <w:rsid w:val="74192D01"/>
    <w:rsid w:val="74595EA3"/>
    <w:rsid w:val="74A619E4"/>
    <w:rsid w:val="74D41FF8"/>
    <w:rsid w:val="74DE1908"/>
    <w:rsid w:val="75827AF8"/>
    <w:rsid w:val="75B92E5D"/>
    <w:rsid w:val="75CA3013"/>
    <w:rsid w:val="769A7557"/>
    <w:rsid w:val="77DA1E49"/>
    <w:rsid w:val="78640611"/>
    <w:rsid w:val="78DD19E0"/>
    <w:rsid w:val="79355A99"/>
    <w:rsid w:val="79427311"/>
    <w:rsid w:val="7A4F45F4"/>
    <w:rsid w:val="7A9A41EB"/>
    <w:rsid w:val="7B903AA1"/>
    <w:rsid w:val="7CAD001B"/>
    <w:rsid w:val="7D0D4989"/>
    <w:rsid w:val="7D4F6355"/>
    <w:rsid w:val="7DFE2E40"/>
    <w:rsid w:val="7E516DF9"/>
    <w:rsid w:val="7E675D6F"/>
    <w:rsid w:val="7EF91DDE"/>
    <w:rsid w:val="7F1000B5"/>
    <w:rsid w:val="7F64728F"/>
    <w:rsid w:val="7F7B4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0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3">
    <w:name w:val="heading 2"/>
    <w:basedOn w:val="2"/>
    <w:next w:val="1"/>
    <w:link w:val="36"/>
    <w:qFormat/>
    <w:uiPriority w:val="0"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hAnsi="Courier New" w:eastAsia="Courier New"/>
      <w:b w:val="0"/>
      <w:bCs w:val="0"/>
      <w:kern w:val="0"/>
      <w:sz w:val="32"/>
      <w:szCs w:val="20"/>
      <w:lang w:val="en-GB" w:eastAsia="en-US"/>
    </w:rPr>
  </w:style>
  <w:style w:type="paragraph" w:styleId="4">
    <w:name w:val="heading 3"/>
    <w:basedOn w:val="3"/>
    <w:next w:val="1"/>
    <w:link w:val="37"/>
    <w:qFormat/>
    <w:uiPriority w:val="0"/>
    <w:pPr>
      <w:tabs>
        <w:tab w:val="left" w:pos="720"/>
        <w:tab w:val="clear" w:pos="576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link w:val="38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0"/>
    </w:rPr>
  </w:style>
  <w:style w:type="paragraph" w:styleId="6">
    <w:name w:val="heading 5"/>
    <w:basedOn w:val="5"/>
    <w:next w:val="1"/>
    <w:link w:val="39"/>
    <w:qFormat/>
    <w:uiPriority w:val="0"/>
    <w:pPr>
      <w:tabs>
        <w:tab w:val="left" w:pos="1152"/>
        <w:tab w:val="clear" w:pos="864"/>
      </w:tabs>
      <w:ind w:left="1152" w:hanging="1152"/>
      <w:outlineLvl w:val="4"/>
    </w:pPr>
    <w:rPr>
      <w:sz w:val="22"/>
    </w:rPr>
  </w:style>
  <w:style w:type="paragraph" w:styleId="7">
    <w:name w:val="heading 7"/>
    <w:basedOn w:val="1"/>
    <w:next w:val="1"/>
    <w:link w:val="40"/>
    <w:qFormat/>
    <w:uiPriority w:val="0"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hAnsi="Courier New" w:eastAsia="Courier New"/>
      <w:sz w:val="20"/>
      <w:szCs w:val="20"/>
      <w:lang w:val="en-GB" w:eastAsia="en-US"/>
    </w:rPr>
  </w:style>
  <w:style w:type="paragraph" w:styleId="8">
    <w:name w:val="heading 8"/>
    <w:basedOn w:val="2"/>
    <w:next w:val="1"/>
    <w:link w:val="41"/>
    <w:qFormat/>
    <w:uiPriority w:val="0"/>
    <w:pPr>
      <w:numPr>
        <w:numId w:val="0"/>
      </w:numPr>
      <w:pBdr>
        <w:top w:val="single" w:color="auto" w:sz="12" w:space="3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hAnsi="Courier New" w:eastAsia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1"/>
    <w:link w:val="42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21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caption"/>
    <w:next w:val="1"/>
    <w:link w:val="45"/>
    <w:qFormat/>
    <w:uiPriority w:val="0"/>
    <w:pPr>
      <w:keepNext/>
      <w:spacing w:after="60"/>
    </w:pPr>
    <w:rPr>
      <w:rFonts w:ascii="Courier New" w:hAnsi="Courier New" w:eastAsia="Yu Mincho Light" w:cs="Times New Roman"/>
      <w:b/>
      <w:kern w:val="20"/>
      <w:sz w:val="16"/>
      <w:lang w:val="en-US" w:eastAsia="en-US" w:bidi="ar-SA"/>
    </w:rPr>
  </w:style>
  <w:style w:type="paragraph" w:styleId="11">
    <w:name w:val="Document Map"/>
    <w:basedOn w:val="1"/>
    <w:link w:val="26"/>
    <w:semiHidden/>
    <w:unhideWhenUsed/>
    <w:qFormat/>
    <w:uiPriority w:val="99"/>
    <w:rPr>
      <w:rFonts w:ascii="Cambria Math" w:hAnsi="Cambria Math" w:eastAsia="Cambria Math"/>
      <w:sz w:val="20"/>
      <w:szCs w:val="20"/>
    </w:rPr>
  </w:style>
  <w:style w:type="paragraph" w:styleId="12">
    <w:name w:val="annotation text"/>
    <w:basedOn w:val="1"/>
    <w:link w:val="48"/>
    <w:unhideWhenUsed/>
    <w:qFormat/>
    <w:uiPriority w:val="0"/>
  </w:style>
  <w:style w:type="paragraph" w:styleId="13">
    <w:name w:val="Balloon Text"/>
    <w:basedOn w:val="1"/>
    <w:link w:val="46"/>
    <w:semiHidden/>
    <w:unhideWhenUsed/>
    <w:qFormat/>
    <w:uiPriority w:val="99"/>
    <w:rPr>
      <w:rFonts w:ascii="Cambria Math" w:hAnsi="Cambria Math" w:eastAsia="Cambria Math"/>
      <w:sz w:val="18"/>
      <w:szCs w:val="18"/>
    </w:rPr>
  </w:style>
  <w:style w:type="paragraph" w:styleId="14">
    <w:name w:val="footer"/>
    <w:basedOn w:val="1"/>
    <w:link w:val="4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15">
    <w:name w:val="header"/>
    <w:basedOn w:val="1"/>
    <w:link w:val="24"/>
    <w:qFormat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16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18">
    <w:name w:val="annotation subject"/>
    <w:basedOn w:val="12"/>
    <w:next w:val="12"/>
    <w:link w:val="49"/>
    <w:semiHidden/>
    <w:unhideWhenUsed/>
    <w:qFormat/>
    <w:uiPriority w:val="99"/>
    <w:rPr>
      <w:rFonts w:ascii="Cambria Math" w:hAnsi="Cambria Math"/>
      <w:b/>
      <w:bCs/>
      <w:sz w:val="20"/>
      <w:szCs w:val="20"/>
    </w:rPr>
  </w:style>
  <w:style w:type="table" w:styleId="20">
    <w:name w:val="Table Grid"/>
    <w:basedOn w:val="19"/>
    <w:qFormat/>
    <w:uiPriority w:val="0"/>
    <w:rPr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2">
    <w:name w:val="Hyperlink"/>
    <w:qFormat/>
    <w:uiPriority w:val="0"/>
    <w:rPr>
      <w:rFonts w:cs="Times New Roman"/>
      <w:color w:val="0000FF"/>
      <w:u w:val="single"/>
    </w:rPr>
  </w:style>
  <w:style w:type="character" w:styleId="23">
    <w:name w:val="annotation reference"/>
    <w:semiHidden/>
    <w:unhideWhenUsed/>
    <w:qFormat/>
    <w:uiPriority w:val="99"/>
    <w:rPr>
      <w:sz w:val="21"/>
      <w:szCs w:val="21"/>
    </w:rPr>
  </w:style>
  <w:style w:type="character" w:customStyle="1" w:styleId="24">
    <w:name w:val="页眉 字符"/>
    <w:link w:val="15"/>
    <w:qFormat/>
    <w:uiPriority w:val="99"/>
    <w:rPr>
      <w:rFonts w:ascii="Times New Roman" w:hAnsi="Times New Roman" w:eastAsia="Courier New" w:cs="Times New Roman"/>
      <w:kern w:val="0"/>
      <w:sz w:val="20"/>
      <w:szCs w:val="20"/>
      <w:lang w:eastAsia="en-US"/>
    </w:rPr>
  </w:style>
  <w:style w:type="character" w:customStyle="1" w:styleId="25">
    <w:name w:val="标题 1 字符"/>
    <w:link w:val="2"/>
    <w:qFormat/>
    <w:uiPriority w:val="0"/>
    <w:rPr>
      <w:rFonts w:ascii="Arial" w:hAnsi="Arial"/>
      <w:b/>
      <w:bCs/>
      <w:kern w:val="44"/>
      <w:sz w:val="44"/>
      <w:szCs w:val="44"/>
    </w:rPr>
  </w:style>
  <w:style w:type="character" w:customStyle="1" w:styleId="26">
    <w:name w:val="文档结构图 字符"/>
    <w:link w:val="11"/>
    <w:semiHidden/>
    <w:qFormat/>
    <w:uiPriority w:val="99"/>
    <w:rPr>
      <w:rFonts w:ascii="Cambria Math" w:eastAsia="Cambria Math"/>
    </w:rPr>
  </w:style>
  <w:style w:type="paragraph" w:customStyle="1" w:styleId="27">
    <w:name w:val="TAC"/>
    <w:basedOn w:val="28"/>
    <w:link w:val="29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paragraph" w:customStyle="1" w:styleId="28">
    <w:name w:val="TAL"/>
    <w:basedOn w:val="1"/>
    <w:link w:val="57"/>
    <w:qFormat/>
    <w:uiPriority w:val="0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29">
    <w:name w:val="TAC Char"/>
    <w:link w:val="27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paragraph" w:customStyle="1" w:styleId="30">
    <w:name w:val="TH"/>
    <w:basedOn w:val="1"/>
    <w:link w:val="31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31">
    <w:name w:val="TH Char"/>
    <w:link w:val="30"/>
    <w:qFormat/>
    <w:uiPriority w:val="0"/>
    <w:rPr>
      <w:rFonts w:ascii="Courier New" w:hAnsi="Courier New" w:eastAsia="Yu Mincho Light" w:cs="Times New Roman"/>
      <w:b/>
      <w:bCs/>
      <w:kern w:val="0"/>
      <w:sz w:val="20"/>
      <w:szCs w:val="20"/>
      <w:lang w:val="en-GB"/>
    </w:rPr>
  </w:style>
  <w:style w:type="paragraph" w:customStyle="1" w:styleId="32">
    <w:name w:val="TAH"/>
    <w:basedOn w:val="27"/>
    <w:link w:val="33"/>
    <w:qFormat/>
    <w:uiPriority w:val="0"/>
    <w:rPr>
      <w:b/>
      <w:bCs/>
    </w:rPr>
  </w:style>
  <w:style w:type="character" w:customStyle="1" w:styleId="33">
    <w:name w:val="TAH Car"/>
    <w:link w:val="32"/>
    <w:qFormat/>
    <w:uiPriority w:val="0"/>
    <w:rPr>
      <w:rFonts w:ascii="Courier New" w:hAnsi="Courier New" w:eastAsia="Yu Mincho Light" w:cs="Times New Roman"/>
      <w:b/>
      <w:bCs/>
      <w:kern w:val="0"/>
      <w:sz w:val="18"/>
      <w:szCs w:val="18"/>
      <w:lang w:val="en-GB"/>
    </w:rPr>
  </w:style>
  <w:style w:type="paragraph" w:customStyle="1" w:styleId="34">
    <w:name w:val="TAN"/>
    <w:basedOn w:val="1"/>
    <w:link w:val="35"/>
    <w:qFormat/>
    <w:uiPriority w:val="0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35">
    <w:name w:val="TAN Char"/>
    <w:link w:val="34"/>
    <w:qFormat/>
    <w:uiPriority w:val="0"/>
    <w:rPr>
      <w:rFonts w:ascii="Courier New" w:hAnsi="Courier New" w:eastAsia="Yu Mincho Light" w:cs="Times New Roman"/>
      <w:kern w:val="0"/>
      <w:sz w:val="18"/>
      <w:szCs w:val="18"/>
      <w:lang w:val="en-GB"/>
    </w:rPr>
  </w:style>
  <w:style w:type="character" w:customStyle="1" w:styleId="36">
    <w:name w:val="标题 2 字符"/>
    <w:link w:val="3"/>
    <w:qFormat/>
    <w:uiPriority w:val="0"/>
    <w:rPr>
      <w:rFonts w:ascii="Courier New" w:hAnsi="Courier New" w:eastAsia="Courier New" w:cs="Times New Roman"/>
      <w:kern w:val="0"/>
      <w:sz w:val="32"/>
      <w:szCs w:val="20"/>
      <w:lang w:val="en-GB" w:eastAsia="en-US"/>
    </w:rPr>
  </w:style>
  <w:style w:type="character" w:customStyle="1" w:styleId="37">
    <w:name w:val="标题 3 字符"/>
    <w:link w:val="4"/>
    <w:qFormat/>
    <w:uiPriority w:val="0"/>
    <w:rPr>
      <w:rFonts w:ascii="Courier New" w:hAnsi="Courier New" w:eastAsia="Courier New" w:cs="Times New Roman"/>
      <w:kern w:val="0"/>
      <w:sz w:val="28"/>
      <w:szCs w:val="20"/>
      <w:lang w:val="en-GB" w:eastAsia="en-US"/>
    </w:rPr>
  </w:style>
  <w:style w:type="character" w:customStyle="1" w:styleId="38">
    <w:name w:val="标题 4 字符"/>
    <w:link w:val="5"/>
    <w:qFormat/>
    <w:uiPriority w:val="0"/>
    <w:rPr>
      <w:rFonts w:ascii="Courier New" w:hAnsi="Courier New" w:eastAsia="Courier New" w:cs="Times New Roman"/>
      <w:kern w:val="0"/>
      <w:szCs w:val="20"/>
      <w:lang w:val="en-GB" w:eastAsia="en-US"/>
    </w:rPr>
  </w:style>
  <w:style w:type="character" w:customStyle="1" w:styleId="39">
    <w:name w:val="标题 5 字符"/>
    <w:link w:val="6"/>
    <w:qFormat/>
    <w:uiPriority w:val="0"/>
    <w:rPr>
      <w:rFonts w:ascii="Courier New" w:hAnsi="Courier New" w:eastAsia="Courier New" w:cs="Times New Roman"/>
      <w:kern w:val="0"/>
      <w:sz w:val="22"/>
      <w:szCs w:val="20"/>
      <w:lang w:val="en-GB" w:eastAsia="en-US"/>
    </w:rPr>
  </w:style>
  <w:style w:type="character" w:customStyle="1" w:styleId="40">
    <w:name w:val="标题 7 字符"/>
    <w:link w:val="7"/>
    <w:qFormat/>
    <w:uiPriority w:val="0"/>
    <w:rPr>
      <w:rFonts w:ascii="Courier New" w:hAnsi="Courier New" w:eastAsia="Courier New" w:cs="Times New Roman"/>
      <w:kern w:val="0"/>
      <w:sz w:val="20"/>
      <w:szCs w:val="20"/>
      <w:lang w:val="en-GB" w:eastAsia="en-US"/>
    </w:rPr>
  </w:style>
  <w:style w:type="character" w:customStyle="1" w:styleId="41">
    <w:name w:val="标题 8 字符"/>
    <w:link w:val="8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character" w:customStyle="1" w:styleId="42">
    <w:name w:val="标题 9 字符"/>
    <w:link w:val="9"/>
    <w:qFormat/>
    <w:uiPriority w:val="0"/>
    <w:rPr>
      <w:rFonts w:ascii="Courier New" w:hAnsi="Courier New" w:eastAsia="Courier New" w:cs="Times New Roman"/>
      <w:kern w:val="0"/>
      <w:sz w:val="36"/>
      <w:szCs w:val="20"/>
      <w:lang w:val="en-GB" w:eastAsia="en-US"/>
    </w:rPr>
  </w:style>
  <w:style w:type="paragraph" w:customStyle="1" w:styleId="43">
    <w:name w:val="彩色列表 - 强调文字颜色 11"/>
    <w:basedOn w:val="1"/>
    <w:qFormat/>
    <w:uiPriority w:val="34"/>
    <w:pPr>
      <w:ind w:firstLine="420" w:firstLineChars="200"/>
    </w:pPr>
    <w:rPr>
      <w:rFonts w:ascii="Yu Mincho Light" w:hAnsi="Yu Mincho Light"/>
      <w:sz w:val="20"/>
      <w:szCs w:val="20"/>
    </w:rPr>
  </w:style>
  <w:style w:type="paragraph" w:customStyle="1" w:styleId="44">
    <w:name w:val="Table Text"/>
    <w:qFormat/>
    <w:uiPriority w:val="0"/>
    <w:pPr>
      <w:snapToGrid w:val="0"/>
      <w:spacing w:before="80" w:after="80"/>
    </w:pPr>
    <w:rPr>
      <w:rFonts w:ascii="Courier New" w:hAnsi="Courier New" w:eastAsia="Yu Mincho Light" w:cs="Times New Roman"/>
      <w:sz w:val="18"/>
      <w:lang w:val="en-US" w:eastAsia="zh-CN" w:bidi="ar-SA"/>
    </w:rPr>
  </w:style>
  <w:style w:type="character" w:customStyle="1" w:styleId="45">
    <w:name w:val="题注 字符"/>
    <w:link w:val="10"/>
    <w:qFormat/>
    <w:uiPriority w:val="0"/>
    <w:rPr>
      <w:rFonts w:ascii="Courier New" w:hAnsi="Courier New"/>
      <w:b/>
      <w:kern w:val="20"/>
      <w:sz w:val="16"/>
      <w:lang w:eastAsia="en-US" w:bidi="ar-SA"/>
    </w:rPr>
  </w:style>
  <w:style w:type="character" w:customStyle="1" w:styleId="46">
    <w:name w:val="批注框文本 字符"/>
    <w:link w:val="13"/>
    <w:semiHidden/>
    <w:qFormat/>
    <w:uiPriority w:val="99"/>
    <w:rPr>
      <w:rFonts w:ascii="Cambria Math" w:eastAsia="Cambria Math"/>
      <w:sz w:val="18"/>
      <w:szCs w:val="18"/>
    </w:rPr>
  </w:style>
  <w:style w:type="character" w:customStyle="1" w:styleId="47">
    <w:name w:val="页脚 字符"/>
    <w:link w:val="14"/>
    <w:qFormat/>
    <w:uiPriority w:val="99"/>
    <w:rPr>
      <w:sz w:val="18"/>
      <w:szCs w:val="18"/>
    </w:rPr>
  </w:style>
  <w:style w:type="character" w:customStyle="1" w:styleId="48">
    <w:name w:val="批注文字 字符"/>
    <w:basedOn w:val="21"/>
    <w:link w:val="12"/>
    <w:qFormat/>
    <w:uiPriority w:val="0"/>
  </w:style>
  <w:style w:type="character" w:customStyle="1" w:styleId="49">
    <w:name w:val="批注主题 字符"/>
    <w:link w:val="18"/>
    <w:semiHidden/>
    <w:qFormat/>
    <w:uiPriority w:val="99"/>
    <w:rPr>
      <w:b/>
      <w:bCs/>
    </w:rPr>
  </w:style>
  <w:style w:type="paragraph" w:customStyle="1" w:styleId="50">
    <w:name w:val="B1"/>
    <w:basedOn w:val="16"/>
    <w:link w:val="51"/>
    <w:qFormat/>
    <w:uiPriority w:val="0"/>
    <w:pPr>
      <w:overflowPunct w:val="0"/>
      <w:autoSpaceDE w:val="0"/>
      <w:autoSpaceDN w:val="0"/>
      <w:adjustRightInd w:val="0"/>
      <w:spacing w:after="180"/>
      <w:ind w:left="568" w:hanging="284" w:firstLineChars="0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51">
    <w:name w:val="B1 Char1"/>
    <w:link w:val="50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52">
    <w:name w:val="B1 Char"/>
    <w:qFormat/>
    <w:locked/>
    <w:uiPriority w:val="0"/>
    <w:rPr>
      <w:lang w:val="en-GB"/>
    </w:rPr>
  </w:style>
  <w:style w:type="paragraph" w:customStyle="1" w:styleId="53">
    <w:name w:val="浅色列表 - 着色 51"/>
    <w:basedOn w:val="1"/>
    <w:qFormat/>
    <w:uiPriority w:val="99"/>
    <w:pPr>
      <w:numPr>
        <w:ilvl w:val="0"/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54">
    <w:name w:val="首标题"/>
    <w:qFormat/>
    <w:uiPriority w:val="0"/>
    <w:rPr>
      <w:rFonts w:ascii="Courier New" w:hAnsi="Courier New" w:eastAsia="Yu Mincho Light"/>
      <w:sz w:val="24"/>
      <w:lang w:val="en-US" w:eastAsia="zh-CN" w:bidi="ar-SA"/>
    </w:rPr>
  </w:style>
  <w:style w:type="paragraph" w:customStyle="1" w:styleId="55">
    <w:name w:val="插图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paragraph" w:customStyle="1" w:styleId="56">
    <w:name w:val="表格题注"/>
    <w:basedOn w:val="1"/>
    <w:qFormat/>
    <w:uiPriority w:val="0"/>
    <w:pPr>
      <w:spacing w:after="180"/>
    </w:pPr>
    <w:rPr>
      <w:sz w:val="20"/>
      <w:szCs w:val="20"/>
      <w:lang w:val="en-GB" w:eastAsia="en-US"/>
    </w:rPr>
  </w:style>
  <w:style w:type="character" w:customStyle="1" w:styleId="57">
    <w:name w:val="TAL Car"/>
    <w:link w:val="28"/>
    <w:qFormat/>
    <w:uiPriority w:val="0"/>
    <w:rPr>
      <w:rFonts w:ascii="Courier New" w:hAnsi="Courier New"/>
      <w:sz w:val="18"/>
      <w:lang w:val="en-GB" w:eastAsia="en-US"/>
    </w:rPr>
  </w:style>
  <w:style w:type="paragraph" w:customStyle="1" w:styleId="58">
    <w:name w:val="中等深浅网格 1 - 着色 21"/>
    <w:basedOn w:val="1"/>
    <w:link w:val="59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59">
    <w:name w:val="中等深浅网格 1 - 着色 2 字符"/>
    <w:link w:val="58"/>
    <w:qFormat/>
    <w:locked/>
    <w:uiPriority w:val="34"/>
    <w:rPr>
      <w:rFonts w:ascii="Times New Roman" w:hAnsi="Times New Roman" w:eastAsia="Yu Mincho Light"/>
      <w:lang w:val="en-GB" w:eastAsia="ja-JP"/>
    </w:rPr>
  </w:style>
  <w:style w:type="character" w:customStyle="1" w:styleId="60">
    <w:name w:val="TAL Char"/>
    <w:qFormat/>
    <w:uiPriority w:val="0"/>
    <w:rPr>
      <w:rFonts w:ascii="Courier New" w:hAnsi="Courier New" w:eastAsia="Yu Mincho Light"/>
      <w:sz w:val="18"/>
      <w:lang w:val="en-GB" w:eastAsia="zh-CN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hAnsi="Courier New" w:eastAsia="Times New Roman" w:cs="Times New Roman"/>
      <w:b/>
      <w:sz w:val="34"/>
      <w:lang w:val="en-GB" w:eastAsia="en-GB" w:bidi="ar-SA"/>
    </w:rPr>
  </w:style>
  <w:style w:type="paragraph" w:customStyle="1" w:styleId="62">
    <w:name w:val="Doc-title"/>
    <w:basedOn w:val="1"/>
    <w:next w:val="63"/>
    <w:link w:val="65"/>
    <w:qFormat/>
    <w:uiPriority w:val="0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hAnsi="Courier New" w:eastAsia="Courier New"/>
      <w:sz w:val="20"/>
      <w:lang w:eastAsia="en-GB"/>
    </w:rPr>
  </w:style>
  <w:style w:type="paragraph" w:customStyle="1" w:styleId="63">
    <w:name w:val="Doc-text2"/>
    <w:basedOn w:val="1"/>
    <w:link w:val="64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hAnsi="Courier New" w:eastAsia="Courier New"/>
      <w:sz w:val="20"/>
      <w:lang w:eastAsia="en-GB"/>
    </w:rPr>
  </w:style>
  <w:style w:type="character" w:customStyle="1" w:styleId="64">
    <w:name w:val="Doc-text2 Char"/>
    <w:link w:val="63"/>
    <w:qFormat/>
    <w:uiPriority w:val="0"/>
    <w:rPr>
      <w:rFonts w:ascii="Courier New" w:hAnsi="Courier New" w:eastAsia="Courier New"/>
      <w:szCs w:val="24"/>
      <w:lang w:eastAsia="en-GB"/>
    </w:rPr>
  </w:style>
  <w:style w:type="character" w:customStyle="1" w:styleId="65">
    <w:name w:val="Doc-title Char"/>
    <w:link w:val="62"/>
    <w:qFormat/>
    <w:uiPriority w:val="0"/>
    <w:rPr>
      <w:rFonts w:ascii="Courier New" w:hAnsi="Courier New" w:eastAsia="Courier New"/>
      <w:szCs w:val="24"/>
      <w:lang w:eastAsia="en-GB"/>
    </w:rPr>
  </w:style>
  <w:style w:type="paragraph" w:customStyle="1" w:styleId="66">
    <w:name w:val="EmailDiscussion2"/>
    <w:basedOn w:val="63"/>
    <w:qFormat/>
    <w:uiPriority w:val="0"/>
  </w:style>
  <w:style w:type="paragraph" w:customStyle="1" w:styleId="67">
    <w:name w:val="H6"/>
    <w:basedOn w:val="6"/>
    <w:next w:val="1"/>
    <w:link w:val="68"/>
    <w:qFormat/>
    <w:uiPriority w:val="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68">
    <w:name w:val="H6 Char"/>
    <w:link w:val="67"/>
    <w:qFormat/>
    <w:uiPriority w:val="0"/>
    <w:rPr>
      <w:rFonts w:ascii="Courier New" w:hAnsi="Courier New" w:eastAsia="Yu Mincho Light"/>
      <w:lang w:val="en-GB" w:eastAsia="en-US"/>
    </w:rPr>
  </w:style>
  <w:style w:type="paragraph" w:customStyle="1" w:styleId="69">
    <w:name w:val="NO"/>
    <w:basedOn w:val="1"/>
    <w:link w:val="70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70">
    <w:name w:val="NO Char1"/>
    <w:link w:val="69"/>
    <w:qFormat/>
    <w:uiPriority w:val="0"/>
    <w:rPr>
      <w:rFonts w:ascii="Times New Roman" w:hAnsi="Times New Roman" w:eastAsia="Times New Roman"/>
      <w:lang w:val="en-GB"/>
    </w:rPr>
  </w:style>
  <w:style w:type="character" w:customStyle="1" w:styleId="71">
    <w:name w:val="页眉 Char"/>
    <w:qFormat/>
    <w:uiPriority w:val="0"/>
    <w:rPr>
      <w:rFonts w:ascii="Courier New" w:hAnsi="Courier New"/>
      <w:b/>
      <w:sz w:val="18"/>
      <w:lang w:eastAsia="en-US"/>
    </w:rPr>
  </w:style>
  <w:style w:type="paragraph" w:customStyle="1" w:styleId="72">
    <w:name w:val="CR Cover Page"/>
    <w:link w:val="73"/>
    <w:qFormat/>
    <w:uiPriority w:val="0"/>
    <w:pPr>
      <w:spacing w:after="120"/>
    </w:pPr>
    <w:rPr>
      <w:rFonts w:ascii="Arial" w:hAnsi="Arial" w:eastAsia="Courier New" w:cs="Cambria Math"/>
      <w:lang w:val="en-GB" w:eastAsia="en-US" w:bidi="ar-SA"/>
    </w:rPr>
  </w:style>
  <w:style w:type="character" w:customStyle="1" w:styleId="73">
    <w:name w:val="CR Cover Page Char"/>
    <w:link w:val="72"/>
    <w:qFormat/>
    <w:uiPriority w:val="0"/>
    <w:rPr>
      <w:rFonts w:ascii="Arial" w:hAnsi="Arial" w:eastAsia="Courier New" w:cs="Cambria Math"/>
      <w:lang w:val="en-GB" w:eastAsia="en-US" w:bidi="ar-SA"/>
    </w:rPr>
  </w:style>
  <w:style w:type="paragraph" w:styleId="74">
    <w:name w:val="List Paragraph"/>
    <w:basedOn w:val="1"/>
    <w:link w:val="75"/>
    <w:qFormat/>
    <w:uiPriority w:val="34"/>
    <w:pPr>
      <w:ind w:firstLine="420" w:firstLineChars="200"/>
    </w:pPr>
    <w:rPr>
      <w:rFonts w:eastAsia="Times New Roman" w:cs="宋体"/>
    </w:rPr>
  </w:style>
  <w:style w:type="character" w:customStyle="1" w:styleId="75">
    <w:name w:val="列表段落 字符"/>
    <w:link w:val="74"/>
    <w:qFormat/>
    <w:locked/>
    <w:uiPriority w:val="34"/>
    <w:rPr>
      <w:rFonts w:ascii="Times New Roman" w:hAnsi="Times New Roman" w:eastAsia="Times New Roman" w:cs="宋体"/>
      <w:sz w:val="24"/>
      <w:szCs w:val="24"/>
    </w:rPr>
  </w:style>
  <w:style w:type="paragraph" w:customStyle="1" w:styleId="76">
    <w:name w:val="Revision"/>
    <w:hidden/>
    <w:qFormat/>
    <w:uiPriority w:val="62"/>
    <w:rPr>
      <w:rFonts w:ascii="Times New Roman" w:hAnsi="Times New Roman" w:eastAsia="Yu Mincho Light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2366</Words>
  <Characters>13491</Characters>
  <Lines>112</Lines>
  <Paragraphs>31</Paragraphs>
  <TotalTime>130</TotalTime>
  <ScaleCrop>false</ScaleCrop>
  <LinksUpToDate>false</LinksUpToDate>
  <CharactersWithSpaces>15826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2022-08-08T10:51:00Z</dcterms:created>
  <dc:creator>Shiyuan Wang</dc:creator>
  <cp:lastModifiedBy>CMCC-shiyuan-v2</cp:lastModifiedBy>
  <dcterms:modified xsi:type="dcterms:W3CDTF">2025-02-07T09:02:14Z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1B5FA489B6684E2C9426DDD8CDDDA00C</vt:lpwstr>
  </property>
</Properties>
</file>